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E7E" w:rsidRPr="00574938" w:rsidRDefault="000C0E7E" w:rsidP="000C0E7E">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Arial"/>
        </w:rPr>
        <w:t>veintiséis de septiembre de dos mil dieciocho</w:t>
      </w:r>
      <w:r w:rsidRPr="00574938">
        <w:rPr>
          <w:rFonts w:ascii="Palatino Linotype" w:hAnsi="Palatino Linotype" w:cs="Arial"/>
        </w:rPr>
        <w:t>.</w:t>
      </w:r>
    </w:p>
    <w:p w:rsidR="000C0E7E" w:rsidRDefault="000C0E7E" w:rsidP="000C0E7E">
      <w:pPr>
        <w:spacing w:before="100" w:beforeAutospacing="1" w:after="100" w:afterAutospacing="1"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 expediente electrónico formado con motivo del recurso de revisión </w:t>
      </w:r>
      <w:r>
        <w:rPr>
          <w:rFonts w:ascii="Palatino Linotype" w:hAnsi="Palatino Linotype" w:cs="Arial"/>
          <w:b/>
          <w:bCs/>
        </w:rPr>
        <w:t>02836/INFOEM/IP/RR/2018</w:t>
      </w:r>
      <w:r>
        <w:rPr>
          <w:rFonts w:ascii="Palatino Linotype" w:hAnsi="Palatino Linotype" w:cs="Arial"/>
          <w:b/>
          <w:bCs/>
          <w:sz w:val="22"/>
        </w:rPr>
        <w:t xml:space="preserve">, </w:t>
      </w:r>
      <w:r>
        <w:rPr>
          <w:rFonts w:ascii="Palatino Linotype" w:hAnsi="Palatino Linotype" w:cs="Arial"/>
        </w:rPr>
        <w:t xml:space="preserve">interpuesto por el </w:t>
      </w:r>
      <w:r>
        <w:rPr>
          <w:rFonts w:ascii="Palatino Linotype" w:hAnsi="Palatino Linotype" w:cs="Arial"/>
          <w:b/>
        </w:rPr>
        <w:t xml:space="preserve">C. </w:t>
      </w:r>
      <w:r w:rsidR="00E44BD6">
        <w:rPr>
          <w:rFonts w:ascii="Palatino Linotype" w:hAnsi="Palatino Linotype"/>
          <w:b/>
          <w:szCs w:val="22"/>
        </w:rPr>
        <w:t>Xxxxx Xxxxxx Xxxxxx</w:t>
      </w:r>
      <w:r>
        <w:rPr>
          <w:rFonts w:ascii="Palatino Linotype" w:hAnsi="Palatino Linotype"/>
          <w:b/>
          <w:szCs w:val="22"/>
        </w:rPr>
        <w:t xml:space="preserve">, </w:t>
      </w:r>
      <w:r>
        <w:rPr>
          <w:rFonts w:ascii="Palatino Linotype" w:hAnsi="Palatino Linotype" w:cs="Arial"/>
        </w:rPr>
        <w:t>el</w:t>
      </w:r>
      <w:r>
        <w:rPr>
          <w:rFonts w:ascii="Palatino Linotype" w:hAnsi="Palatino Linotype" w:cs="Arial"/>
          <w:b/>
        </w:rPr>
        <w:t xml:space="preserve"> recurrente</w:t>
      </w:r>
      <w:r>
        <w:rPr>
          <w:rFonts w:ascii="Palatino Linotype" w:hAnsi="Palatino Linotype" w:cs="Arial"/>
        </w:rPr>
        <w:t>, ante el</w:t>
      </w:r>
      <w:r>
        <w:rPr>
          <w:rFonts w:ascii="Palatino Linotype" w:hAnsi="Palatino Linotype" w:cs="Arial"/>
          <w:b/>
        </w:rPr>
        <w:t xml:space="preserve"> </w:t>
      </w:r>
      <w:r>
        <w:rPr>
          <w:rFonts w:ascii="Palatino Linotype" w:hAnsi="Palatino Linotype" w:cs="Arial"/>
          <w:b/>
          <w:bCs/>
        </w:rPr>
        <w:t>Partido Morena</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ambos así denominados en lo sucesivo, en contra de la falta de respuesta a la s</w:t>
      </w:r>
      <w:bookmarkStart w:id="0" w:name="_GoBack"/>
      <w:bookmarkEnd w:id="0"/>
      <w:r>
        <w:rPr>
          <w:rFonts w:ascii="Palatino Linotype" w:hAnsi="Palatino Linotype" w:cs="Arial"/>
        </w:rPr>
        <w:t xml:space="preserve">olicitud de información con número de folio </w:t>
      </w:r>
      <w:r w:rsidR="00AC43CF">
        <w:rPr>
          <w:rFonts w:ascii="Palatino Linotype" w:hAnsi="Palatino Linotype" w:cs="Arial"/>
          <w:b/>
        </w:rPr>
        <w:t>00052/PMOR/IP/2018</w:t>
      </w:r>
      <w:r>
        <w:rPr>
          <w:rFonts w:ascii="Palatino Linotype" w:hAnsi="Palatino Linotype" w:cs="Arial"/>
          <w:b/>
          <w:sz w:val="22"/>
        </w:rPr>
        <w:t xml:space="preserve">, </w:t>
      </w:r>
      <w:r>
        <w:rPr>
          <w:rFonts w:ascii="Palatino Linotype" w:hAnsi="Palatino Linotype" w:cs="Arial"/>
        </w:rPr>
        <w:t>se procede a dictar la presente Resolución, con fundamento en lo siguiente:</w:t>
      </w:r>
    </w:p>
    <w:p w:rsidR="009766B7" w:rsidRPr="00493EDA" w:rsidRDefault="009766B7" w:rsidP="009766B7">
      <w:pPr>
        <w:spacing w:before="100" w:beforeAutospacing="1" w:after="100" w:afterAutospacing="1" w:line="360" w:lineRule="auto"/>
        <w:jc w:val="center"/>
        <w:rPr>
          <w:rFonts w:ascii="Palatino Linotype" w:hAnsi="Palatino Linotype" w:cs="Arial"/>
          <w:b/>
          <w:sz w:val="28"/>
        </w:rPr>
      </w:pPr>
      <w:r w:rsidRPr="00493EDA">
        <w:rPr>
          <w:rFonts w:ascii="Palatino Linotype" w:hAnsi="Palatino Linotype" w:cs="Arial"/>
          <w:b/>
          <w:sz w:val="28"/>
        </w:rPr>
        <w:t>I.</w:t>
      </w:r>
      <w:r w:rsidRPr="00493EDA">
        <w:rPr>
          <w:rFonts w:ascii="Palatino Linotype" w:hAnsi="Palatino Linotype" w:cs="Arial"/>
          <w:b/>
          <w:sz w:val="28"/>
        </w:rPr>
        <w:tab/>
        <w:t>A N T E C E D E N T E S:</w:t>
      </w:r>
    </w:p>
    <w:p w:rsidR="009766B7" w:rsidRPr="00493EDA" w:rsidRDefault="009766B7" w:rsidP="009766B7">
      <w:pPr>
        <w:spacing w:before="100" w:beforeAutospacing="1" w:after="100" w:afterAutospacing="1" w:line="360" w:lineRule="auto"/>
        <w:jc w:val="both"/>
        <w:rPr>
          <w:rFonts w:ascii="Palatino Linotype" w:hAnsi="Palatino Linotype" w:cs="Arial"/>
        </w:rPr>
      </w:pPr>
      <w:r w:rsidRPr="00493EDA">
        <w:rPr>
          <w:rFonts w:ascii="Palatino Linotype" w:hAnsi="Palatino Linotype" w:cs="Arial"/>
          <w:b/>
        </w:rPr>
        <w:t>PRIMERO.</w:t>
      </w:r>
      <w:r w:rsidRPr="00493EDA">
        <w:rPr>
          <w:rFonts w:ascii="Palatino Linotype" w:hAnsi="Palatino Linotype" w:cs="Arial"/>
        </w:rPr>
        <w:t xml:space="preserve"> </w:t>
      </w:r>
      <w:r w:rsidRPr="00493EDA">
        <w:rPr>
          <w:rFonts w:ascii="Palatino Linotype" w:hAnsi="Palatino Linotype" w:cs="Arial"/>
          <w:b/>
        </w:rPr>
        <w:t>Solicitud de acceso a la información.</w:t>
      </w:r>
      <w:r w:rsidRPr="00493EDA">
        <w:rPr>
          <w:rFonts w:ascii="Palatino Linotype" w:hAnsi="Palatino Linotype" w:cs="Arial"/>
        </w:rPr>
        <w:t xml:space="preserve"> Con fecha </w:t>
      </w:r>
      <w:r w:rsidR="00C12F5A">
        <w:rPr>
          <w:rFonts w:ascii="Palatino Linotype" w:hAnsi="Palatino Linotype" w:cs="Arial"/>
        </w:rPr>
        <w:t>veintinueve de junio</w:t>
      </w:r>
      <w:r>
        <w:rPr>
          <w:rFonts w:ascii="Palatino Linotype" w:hAnsi="Palatino Linotype" w:cs="Arial"/>
        </w:rPr>
        <w:t xml:space="preserve"> de dos mil dieciocho, el</w:t>
      </w:r>
      <w:r w:rsidRPr="00493EDA">
        <w:rPr>
          <w:rFonts w:ascii="Palatino Linotype" w:hAnsi="Palatino Linotype" w:cs="Arial"/>
        </w:rPr>
        <w:t xml:space="preserve"> </w:t>
      </w:r>
      <w:r w:rsidRPr="00493EDA">
        <w:rPr>
          <w:rFonts w:ascii="Palatino Linotype" w:hAnsi="Palatino Linotype" w:cs="Arial"/>
          <w:b/>
        </w:rPr>
        <w:t>recurrente</w:t>
      </w:r>
      <w:r w:rsidRPr="00493EDA">
        <w:rPr>
          <w:rFonts w:ascii="Palatino Linotype" w:hAnsi="Palatino Linotype" w:cs="Arial"/>
        </w:rPr>
        <w:t xml:space="preserve"> presentó solicitud de acceso a la información pública al </w:t>
      </w:r>
      <w:r w:rsidRPr="00493EDA">
        <w:rPr>
          <w:rFonts w:ascii="Palatino Linotype" w:hAnsi="Palatino Linotype" w:cs="Arial"/>
          <w:b/>
        </w:rPr>
        <w:t>Sujeto Obligado</w:t>
      </w:r>
      <w:r w:rsidRPr="00493EDA">
        <w:rPr>
          <w:rFonts w:ascii="Palatino Linotype" w:hAnsi="Palatino Linotype" w:cs="Arial"/>
        </w:rPr>
        <w:t xml:space="preserve"> mediante el Sistema de Información Mexiquense (</w:t>
      </w:r>
      <w:r w:rsidRPr="00493EDA">
        <w:rPr>
          <w:rFonts w:ascii="Palatino Linotype" w:hAnsi="Palatino Linotype" w:cs="Arial"/>
          <w:b/>
        </w:rPr>
        <w:t>SAIMEX</w:t>
      </w:r>
      <w:r w:rsidRPr="00493EDA">
        <w:rPr>
          <w:rFonts w:ascii="Palatino Linotype" w:hAnsi="Palatino Linotype" w:cs="Arial"/>
        </w:rPr>
        <w:t>), requiriendo lo siguiente:</w:t>
      </w:r>
    </w:p>
    <w:p w:rsidR="009766B7" w:rsidRPr="00493EDA" w:rsidRDefault="009766B7" w:rsidP="009766B7">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00C12F5A" w:rsidRPr="00C12F5A">
        <w:rPr>
          <w:rFonts w:ascii="Palatino Linotype" w:hAnsi="Palatino Linotype" w:cs="Arial"/>
          <w:i/>
          <w:sz w:val="22"/>
        </w:rPr>
        <w:t>Solicito el presupuesto asignado al partido Morena en Ixtapaluca, desglosado en los diversos rubros con cantidades por candidatura desde federal hasta local y ayuntamiento, con sus cantidades respectivas</w:t>
      </w:r>
      <w:r w:rsidRPr="00493EDA">
        <w:rPr>
          <w:rFonts w:ascii="Palatino Linotype" w:hAnsi="Palatino Linotype" w:cs="Arial"/>
          <w:i/>
          <w:sz w:val="22"/>
        </w:rPr>
        <w:t>” (Sic.)</w:t>
      </w:r>
    </w:p>
    <w:p w:rsidR="009766B7" w:rsidRDefault="009766B7" w:rsidP="009766B7">
      <w:pPr>
        <w:spacing w:before="240" w:after="240" w:line="360" w:lineRule="auto"/>
        <w:jc w:val="both"/>
        <w:rPr>
          <w:rFonts w:ascii="Palatino Linotype" w:hAnsi="Palatino Linotype" w:cs="Arial"/>
        </w:rPr>
      </w:pPr>
      <w:r w:rsidRPr="00493EDA">
        <w:rPr>
          <w:rFonts w:ascii="Palatino Linotype" w:hAnsi="Palatino Linotype" w:cs="Arial"/>
          <w:b/>
        </w:rPr>
        <w:t xml:space="preserve">Modalidad elegida para la entrega de la información: </w:t>
      </w:r>
      <w:r w:rsidR="00EA5236">
        <w:rPr>
          <w:rFonts w:ascii="Palatino Linotype" w:hAnsi="Palatino Linotype" w:cs="Arial"/>
        </w:rPr>
        <w:t>A través del SAIMEX.</w:t>
      </w:r>
    </w:p>
    <w:p w:rsidR="009766B7" w:rsidRPr="00493EDA" w:rsidRDefault="009766B7" w:rsidP="009766B7">
      <w:pPr>
        <w:spacing w:after="160" w:line="360" w:lineRule="auto"/>
        <w:jc w:val="both"/>
        <w:rPr>
          <w:rFonts w:ascii="Palatino Linotype" w:hAnsi="Palatino Linotype" w:cs="Arial"/>
        </w:rPr>
      </w:pPr>
      <w:r>
        <w:rPr>
          <w:rFonts w:ascii="Palatino Linotype" w:hAnsi="Palatino Linotype" w:cs="Arial"/>
          <w:b/>
        </w:rPr>
        <w:t>SEGUNDO</w:t>
      </w:r>
      <w:r w:rsidRPr="00493EDA">
        <w:rPr>
          <w:rFonts w:ascii="Palatino Linotype" w:hAnsi="Palatino Linotype" w:cs="Arial"/>
          <w:b/>
        </w:rPr>
        <w:t>. Respuesta</w:t>
      </w:r>
      <w:r w:rsidRPr="00493EDA">
        <w:rPr>
          <w:rFonts w:ascii="Palatino Linotype" w:hAnsi="Palatino Linotype" w:cs="Arial"/>
        </w:rPr>
        <w:t xml:space="preserve">. De las constancias que obran en el expediente electrónico del </w:t>
      </w:r>
      <w:r w:rsidRPr="00493EDA">
        <w:rPr>
          <w:rFonts w:ascii="Palatino Linotype" w:hAnsi="Palatino Linotype" w:cs="Arial"/>
          <w:b/>
        </w:rPr>
        <w:t>SAIMEX</w:t>
      </w:r>
      <w:r w:rsidRPr="00493EDA">
        <w:rPr>
          <w:rFonts w:ascii="Palatino Linotype" w:hAnsi="Palatino Linotype" w:cs="Arial"/>
        </w:rPr>
        <w:t xml:space="preserve"> se advierte que el </w:t>
      </w:r>
      <w:r w:rsidRPr="00493EDA">
        <w:rPr>
          <w:rFonts w:ascii="Palatino Linotype" w:hAnsi="Palatino Linotype" w:cs="Arial"/>
          <w:b/>
        </w:rPr>
        <w:t>Sujeto Obligado</w:t>
      </w:r>
      <w:r w:rsidRPr="00493EDA">
        <w:rPr>
          <w:rFonts w:ascii="Palatino Linotype" w:hAnsi="Palatino Linotype" w:cs="Arial"/>
        </w:rPr>
        <w:t xml:space="preserve"> no dio respuesta a la solicitud de acceso a la informa</w:t>
      </w:r>
      <w:r>
        <w:rPr>
          <w:rFonts w:ascii="Palatino Linotype" w:hAnsi="Palatino Linotype" w:cs="Arial"/>
        </w:rPr>
        <w:t>ción que fuera presentada por el</w:t>
      </w:r>
      <w:r w:rsidRPr="00493EDA">
        <w:rPr>
          <w:rFonts w:ascii="Palatino Linotype" w:hAnsi="Palatino Linotype" w:cs="Arial"/>
        </w:rPr>
        <w:t xml:space="preserve"> recurrente.</w:t>
      </w:r>
    </w:p>
    <w:p w:rsidR="009766B7" w:rsidRPr="00493EDA" w:rsidRDefault="009766B7" w:rsidP="009766B7">
      <w:pPr>
        <w:spacing w:before="100" w:beforeAutospacing="1" w:after="100" w:afterAutospacing="1" w:line="360" w:lineRule="auto"/>
        <w:jc w:val="both"/>
        <w:rPr>
          <w:rFonts w:ascii="Palatino Linotype" w:hAnsi="Palatino Linotype" w:cs="Arial"/>
        </w:rPr>
      </w:pPr>
      <w:r>
        <w:rPr>
          <w:rFonts w:ascii="Palatino Linotype" w:hAnsi="Palatino Linotype" w:cs="Arial"/>
          <w:b/>
        </w:rPr>
        <w:lastRenderedPageBreak/>
        <w:t>TERCERO</w:t>
      </w:r>
      <w:r w:rsidRPr="00493EDA">
        <w:rPr>
          <w:rFonts w:ascii="Palatino Linotype" w:hAnsi="Palatino Linotype" w:cs="Arial"/>
          <w:b/>
        </w:rPr>
        <w:t>.</w:t>
      </w:r>
      <w:r w:rsidRPr="00493EDA">
        <w:rPr>
          <w:rFonts w:ascii="Palatino Linotype" w:hAnsi="Palatino Linotype" w:cs="Arial"/>
        </w:rPr>
        <w:t xml:space="preserve"> </w:t>
      </w:r>
      <w:r w:rsidRPr="00493EDA">
        <w:rPr>
          <w:rFonts w:ascii="Palatino Linotype" w:hAnsi="Palatino Linotype" w:cs="Arial"/>
          <w:b/>
        </w:rPr>
        <w:t>Interposición del recurso de revisión</w:t>
      </w:r>
      <w:r w:rsidRPr="00493EDA">
        <w:rPr>
          <w:rFonts w:ascii="Palatino Linotype" w:hAnsi="Palatino Linotype" w:cs="Arial"/>
        </w:rPr>
        <w:t xml:space="preserve">. Con fecha </w:t>
      </w:r>
      <w:r w:rsidR="00C12F5A">
        <w:rPr>
          <w:rFonts w:ascii="Palatino Linotype" w:hAnsi="Palatino Linotype" w:cs="Arial"/>
        </w:rPr>
        <w:t>siete de agosto</w:t>
      </w:r>
      <w:r>
        <w:rPr>
          <w:rFonts w:ascii="Palatino Linotype" w:hAnsi="Palatino Linotype" w:cs="Arial"/>
        </w:rPr>
        <w:t xml:space="preserve"> de dos mil dieciocho, el</w:t>
      </w:r>
      <w:r w:rsidRPr="00493EDA">
        <w:rPr>
          <w:rFonts w:ascii="Palatino Linotype" w:hAnsi="Palatino Linotype" w:cs="Arial"/>
        </w:rPr>
        <w:t xml:space="preserve"> solicitante ante la </w:t>
      </w:r>
      <w:r>
        <w:rPr>
          <w:rFonts w:ascii="Palatino Linotype" w:hAnsi="Palatino Linotype" w:cs="Arial"/>
        </w:rPr>
        <w:t xml:space="preserve">falta de </w:t>
      </w:r>
      <w:r w:rsidRPr="00493EDA">
        <w:rPr>
          <w:rFonts w:ascii="Palatino Linotype" w:hAnsi="Palatino Linotype" w:cs="Arial"/>
        </w:rPr>
        <w:t xml:space="preserve">respuesta por parte del </w:t>
      </w:r>
      <w:r w:rsidRPr="00493EDA">
        <w:rPr>
          <w:rFonts w:ascii="Palatino Linotype" w:hAnsi="Palatino Linotype" w:cs="Arial"/>
          <w:b/>
        </w:rPr>
        <w:t>Sujeto Obligado</w:t>
      </w:r>
      <w:r w:rsidRPr="00493EDA">
        <w:rPr>
          <w:rFonts w:ascii="Palatino Linotype" w:hAnsi="Palatino Linotype" w:cs="Arial"/>
        </w:rPr>
        <w:t xml:space="preserve">, interpuso el recurso de revisión mediante el </w:t>
      </w:r>
      <w:r w:rsidRPr="00493EDA">
        <w:rPr>
          <w:rFonts w:ascii="Palatino Linotype" w:hAnsi="Palatino Linotype" w:cs="Arial"/>
          <w:b/>
        </w:rPr>
        <w:t>SAIMEX</w:t>
      </w:r>
      <w:r w:rsidRPr="00493EDA">
        <w:rPr>
          <w:rFonts w:ascii="Palatino Linotype" w:hAnsi="Palatino Linotype" w:cs="Arial"/>
        </w:rPr>
        <w:t>, en donde se manifestó de la siguiente manera:</w:t>
      </w:r>
    </w:p>
    <w:p w:rsidR="009766B7" w:rsidRPr="00493EDA" w:rsidRDefault="009766B7" w:rsidP="009766B7">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a) Acto impugnado</w:t>
      </w:r>
    </w:p>
    <w:p w:rsidR="009766B7" w:rsidRPr="00493EDA" w:rsidRDefault="009766B7" w:rsidP="009766B7">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00C12F5A" w:rsidRPr="00C12F5A">
        <w:rPr>
          <w:rFonts w:ascii="Palatino Linotype" w:hAnsi="Palatino Linotype" w:cs="Arial"/>
          <w:i/>
          <w:sz w:val="22"/>
        </w:rPr>
        <w:t>Tiempo de respuesta excedido</w:t>
      </w:r>
      <w:r w:rsidRPr="00493EDA">
        <w:rPr>
          <w:rFonts w:ascii="Palatino Linotype" w:hAnsi="Palatino Linotype" w:cs="Arial"/>
          <w:i/>
          <w:sz w:val="22"/>
        </w:rPr>
        <w:t>” (Sic.)</w:t>
      </w:r>
    </w:p>
    <w:p w:rsidR="009766B7" w:rsidRPr="00493EDA" w:rsidRDefault="009766B7" w:rsidP="009766B7">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b) Razones o motivos de la inconformidad</w:t>
      </w:r>
    </w:p>
    <w:p w:rsidR="009766B7" w:rsidRPr="00493EDA" w:rsidRDefault="009766B7" w:rsidP="009766B7">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00C12F5A" w:rsidRPr="00C12F5A">
        <w:rPr>
          <w:rFonts w:ascii="Palatino Linotype" w:hAnsi="Palatino Linotype" w:cs="Arial"/>
          <w:i/>
          <w:sz w:val="22"/>
        </w:rPr>
        <w:t>Ya que se ha excedido el tiempo de espera, le solicito la inmediata resolucion a la presente solicitud.</w:t>
      </w:r>
      <w:r w:rsidRPr="00493EDA">
        <w:rPr>
          <w:rFonts w:ascii="Palatino Linotype" w:hAnsi="Palatino Linotype" w:cs="Arial"/>
          <w:i/>
          <w:sz w:val="22"/>
        </w:rPr>
        <w:t>” (Sic.)</w:t>
      </w:r>
    </w:p>
    <w:p w:rsidR="009766B7" w:rsidRPr="00493EDA" w:rsidRDefault="009766B7" w:rsidP="009766B7">
      <w:pPr>
        <w:spacing w:before="240" w:after="240"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b/>
          <w:szCs w:val="22"/>
          <w:lang w:val="es-MX" w:eastAsia="en-US"/>
        </w:rPr>
        <w:t>CUARTO</w:t>
      </w:r>
      <w:r w:rsidRPr="00493EDA">
        <w:rPr>
          <w:rFonts w:ascii="Palatino Linotype" w:eastAsiaTheme="minorHAnsi" w:hAnsi="Palatino Linotype" w:cs="Arial"/>
          <w:b/>
          <w:szCs w:val="22"/>
          <w:lang w:val="es-MX" w:eastAsia="en-US"/>
        </w:rPr>
        <w:t>.</w:t>
      </w:r>
      <w:r w:rsidRPr="00493EDA">
        <w:rPr>
          <w:rFonts w:ascii="Palatino Linotype" w:eastAsiaTheme="minorHAnsi" w:hAnsi="Palatino Linotype" w:cs="Arial"/>
          <w:szCs w:val="22"/>
          <w:lang w:val="es-MX" w:eastAsia="en-US"/>
        </w:rPr>
        <w:t xml:space="preserve"> </w:t>
      </w:r>
      <w:r w:rsidRPr="00493EDA">
        <w:rPr>
          <w:rFonts w:ascii="Palatino Linotype" w:eastAsiaTheme="minorHAnsi" w:hAnsi="Palatino Linotype" w:cs="Arial"/>
          <w:b/>
          <w:szCs w:val="22"/>
          <w:lang w:val="es-MX" w:eastAsia="en-US"/>
        </w:rPr>
        <w:t>Turno</w:t>
      </w:r>
      <w:r w:rsidRPr="00493EDA">
        <w:rPr>
          <w:rFonts w:ascii="Palatino Linotype" w:eastAsiaTheme="minorHAnsi" w:hAnsi="Palatino Linotype" w:cs="Arial"/>
          <w:szCs w:val="22"/>
          <w:lang w:val="es-MX" w:eastAsia="en-US"/>
        </w:rPr>
        <w:t xml:space="preserve">. Con fundamento en lo dispuesto, en el artículo 185 fracción I, de la Ley de Transparencia y Acceso a la Información Pública del Estado de México y Municipios, el recurso de revisión con número </w:t>
      </w:r>
      <w:r w:rsidR="00C12F5A">
        <w:rPr>
          <w:rFonts w:ascii="Palatino Linotype" w:eastAsiaTheme="minorHAnsi" w:hAnsi="Palatino Linotype" w:cs="Arial"/>
          <w:b/>
          <w:szCs w:val="22"/>
          <w:lang w:val="es-MX" w:eastAsia="en-US"/>
        </w:rPr>
        <w:t>02836</w:t>
      </w:r>
      <w:r>
        <w:rPr>
          <w:rFonts w:ascii="Palatino Linotype" w:eastAsiaTheme="minorHAnsi" w:hAnsi="Palatino Linotype" w:cs="Arial"/>
          <w:b/>
          <w:szCs w:val="22"/>
          <w:lang w:val="es-MX" w:eastAsia="en-US"/>
        </w:rPr>
        <w:t>/INFOEM/IP/RR/2018</w:t>
      </w:r>
      <w:r w:rsidRPr="00493EDA">
        <w:rPr>
          <w:rFonts w:ascii="Palatino Linotype" w:eastAsiaTheme="minorHAnsi" w:hAnsi="Palatino Linotype" w:cs="Arial"/>
          <w:szCs w:val="22"/>
          <w:lang w:val="es-MX" w:eastAsia="en-US"/>
        </w:rPr>
        <w:t>,</w:t>
      </w:r>
      <w:r w:rsidRPr="00493EDA">
        <w:rPr>
          <w:rFonts w:ascii="Palatino Linotype" w:eastAsiaTheme="minorHAnsi" w:hAnsi="Palatino Linotype" w:cs="Arial"/>
          <w:b/>
          <w:szCs w:val="22"/>
          <w:lang w:val="es-MX" w:eastAsia="en-US"/>
        </w:rPr>
        <w:t xml:space="preserve"> </w:t>
      </w:r>
      <w:r w:rsidRPr="00493EDA">
        <w:rPr>
          <w:rFonts w:ascii="Palatino Linotype" w:eastAsiaTheme="minorHAnsi" w:hAnsi="Palatino Linotype" w:cs="Arial"/>
          <w:bCs/>
          <w:szCs w:val="22"/>
          <w:lang w:val="es-MX" w:eastAsia="en-US"/>
        </w:rPr>
        <w:t>fue</w:t>
      </w:r>
      <w:r w:rsidRPr="00493EDA">
        <w:rPr>
          <w:rFonts w:ascii="Palatino Linotype" w:eastAsiaTheme="minorHAnsi" w:hAnsi="Palatino Linotype" w:cs="Arial"/>
          <w:b/>
          <w:bCs/>
          <w:szCs w:val="22"/>
          <w:lang w:val="es-MX" w:eastAsia="en-US"/>
        </w:rPr>
        <w:t xml:space="preserve"> </w:t>
      </w:r>
      <w:r w:rsidRPr="00493EDA">
        <w:rPr>
          <w:rFonts w:ascii="Palatino Linotype" w:eastAsiaTheme="minorHAnsi" w:hAnsi="Palatino Linotype" w:cs="Arial"/>
          <w:szCs w:val="22"/>
          <w:lang w:val="es-MX" w:eastAsia="en-US"/>
        </w:rPr>
        <w:t xml:space="preserve">turnado </w:t>
      </w:r>
      <w:r>
        <w:rPr>
          <w:rFonts w:ascii="Palatino Linotype" w:eastAsiaTheme="minorHAnsi" w:hAnsi="Palatino Linotype" w:cs="Arial"/>
          <w:szCs w:val="22"/>
          <w:lang w:val="es-MX" w:eastAsia="en-US"/>
        </w:rPr>
        <w:t>al Comisionado Ponente</w:t>
      </w:r>
      <w:r w:rsidRPr="00493EDA">
        <w:rPr>
          <w:rFonts w:ascii="Palatino Linotype" w:eastAsiaTheme="minorHAnsi" w:hAnsi="Palatino Linotype" w:cs="Arial"/>
          <w:szCs w:val="22"/>
          <w:lang w:val="es-MX" w:eastAsia="en-US"/>
        </w:rPr>
        <w:t>, para su revisión y análisis sobre la admisión o desechamiento del mismo.</w:t>
      </w:r>
    </w:p>
    <w:p w:rsidR="009766B7" w:rsidRPr="00493EDA" w:rsidRDefault="009766B7" w:rsidP="009766B7">
      <w:pPr>
        <w:spacing w:before="100" w:beforeAutospacing="1" w:after="100" w:afterAutospacing="1" w:line="360" w:lineRule="auto"/>
        <w:jc w:val="both"/>
        <w:rPr>
          <w:rFonts w:ascii="Palatino Linotype" w:hAnsi="Palatino Linotype" w:cs="Arial"/>
        </w:rPr>
      </w:pPr>
      <w:r>
        <w:rPr>
          <w:rFonts w:ascii="Palatino Linotype" w:hAnsi="Palatino Linotype" w:cs="Arial"/>
          <w:b/>
          <w:lang w:val="es-MX"/>
        </w:rPr>
        <w:t>QUINTO</w:t>
      </w:r>
      <w:r w:rsidRPr="00493EDA">
        <w:rPr>
          <w:rFonts w:ascii="Palatino Linotype" w:hAnsi="Palatino Linotype" w:cs="Arial"/>
          <w:b/>
          <w:lang w:val="es-MX"/>
        </w:rPr>
        <w:t xml:space="preserve">. Admisión. </w:t>
      </w:r>
      <w:r w:rsidRPr="00493EDA">
        <w:rPr>
          <w:rFonts w:ascii="Palatino Linotype" w:hAnsi="Palatino Linotype" w:cs="Arial"/>
        </w:rPr>
        <w:t xml:space="preserve">Con fecha </w:t>
      </w:r>
      <w:r w:rsidR="00C12F5A">
        <w:rPr>
          <w:rFonts w:ascii="Palatino Linotype" w:hAnsi="Palatino Linotype" w:cs="Arial"/>
        </w:rPr>
        <w:t>trece de agosto</w:t>
      </w:r>
      <w:r>
        <w:rPr>
          <w:rFonts w:ascii="Palatino Linotype" w:hAnsi="Palatino Linotype" w:cs="Arial"/>
        </w:rPr>
        <w:t xml:space="preserve"> de dos mil dieciocho</w:t>
      </w:r>
      <w:r w:rsidRPr="00493EDA">
        <w:rPr>
          <w:rFonts w:ascii="Palatino Linotype" w:hAnsi="Palatino Linotype" w:cs="Arial"/>
        </w:rPr>
        <w:t xml:space="preserve">, éste Órgano Garante denominado, Instituto de Transparencia, Acceso a la Información Pública y Protección de Datos Personales del Estado de México y Municipios, tuvo a bien admitir a trámite el recurso de revisión que se resuelve, dando un plazo de siete días hábiles para que las partes manifestaran lo que a su derecho conviniera, ofrecieran pruebas, formularan alegatos y el </w:t>
      </w:r>
      <w:r w:rsidRPr="00493EDA">
        <w:rPr>
          <w:rFonts w:ascii="Palatino Linotype" w:hAnsi="Palatino Linotype" w:cs="Arial"/>
          <w:b/>
        </w:rPr>
        <w:t xml:space="preserve">Sujeto Obligado </w:t>
      </w:r>
      <w:r w:rsidRPr="00493EDA">
        <w:rPr>
          <w:rFonts w:ascii="Palatino Linotype" w:hAnsi="Palatino Linotype" w:cs="Arial"/>
        </w:rPr>
        <w:t>presentara su informe justificado.</w:t>
      </w:r>
    </w:p>
    <w:p w:rsidR="009766B7" w:rsidRPr="00257DCB" w:rsidRDefault="009766B7" w:rsidP="009766B7">
      <w:pPr>
        <w:spacing w:before="100" w:beforeAutospacing="1" w:after="100" w:afterAutospacing="1" w:line="360" w:lineRule="auto"/>
        <w:jc w:val="both"/>
        <w:rPr>
          <w:rFonts w:ascii="Palatino Linotype" w:hAnsi="Palatino Linotype" w:cs="Arial"/>
        </w:rPr>
      </w:pPr>
      <w:r>
        <w:rPr>
          <w:rFonts w:ascii="Palatino Linotype" w:hAnsi="Palatino Linotype" w:cs="Arial"/>
          <w:b/>
        </w:rPr>
        <w:lastRenderedPageBreak/>
        <w:t>SEXTO</w:t>
      </w:r>
      <w:r w:rsidRPr="00493EDA">
        <w:rPr>
          <w:rFonts w:ascii="Palatino Linotype" w:hAnsi="Palatino Linotype" w:cs="Arial"/>
          <w:b/>
        </w:rPr>
        <w:t>. Manifestaciones.</w:t>
      </w:r>
      <w:r w:rsidRPr="00493EDA">
        <w:rPr>
          <w:rFonts w:ascii="Palatino Linotype" w:hAnsi="Palatino Linotype" w:cs="Arial"/>
        </w:rPr>
        <w:t xml:space="preserve"> De la revisión a</w:t>
      </w:r>
      <w:r>
        <w:rPr>
          <w:rFonts w:ascii="Palatino Linotype" w:hAnsi="Palatino Linotype" w:cs="Arial"/>
        </w:rPr>
        <w:t xml:space="preserve"> las constancias que integran el expediente electrónico</w:t>
      </w:r>
      <w:r w:rsidRPr="00493EDA">
        <w:rPr>
          <w:rFonts w:ascii="Palatino Linotype" w:hAnsi="Palatino Linotype" w:cs="Arial"/>
        </w:rPr>
        <w:t xml:space="preserve"> al rubro indicado, no se advierte manifestación alguna por ninguna de las partes.</w:t>
      </w:r>
    </w:p>
    <w:p w:rsidR="009766B7" w:rsidRDefault="009766B7" w:rsidP="009766B7">
      <w:pPr>
        <w:spacing w:before="100" w:beforeAutospacing="1" w:after="100" w:afterAutospacing="1" w:line="360" w:lineRule="auto"/>
        <w:jc w:val="both"/>
        <w:rPr>
          <w:rFonts w:ascii="Palatino Linotype" w:hAnsi="Palatino Linotype" w:cs="Arial"/>
        </w:rPr>
      </w:pPr>
      <w:r>
        <w:rPr>
          <w:rFonts w:ascii="Palatino Linotype" w:hAnsi="Palatino Linotype" w:cs="Arial"/>
          <w:b/>
        </w:rPr>
        <w:t>SÉPTIMO</w:t>
      </w:r>
      <w:r w:rsidRPr="003E1C58">
        <w:rPr>
          <w:rFonts w:ascii="Palatino Linotype" w:hAnsi="Palatino Linotype" w:cs="Arial"/>
          <w:b/>
        </w:rPr>
        <w:t>. Cierre de instrucción.</w:t>
      </w:r>
      <w:r w:rsidRPr="003E1C58">
        <w:rPr>
          <w:rFonts w:ascii="Palatino Linotype" w:hAnsi="Palatino Linotype" w:cs="Arial"/>
        </w:rPr>
        <w:t xml:space="preserve"> Con fecha </w:t>
      </w:r>
      <w:r w:rsidR="00231551">
        <w:rPr>
          <w:rFonts w:ascii="Palatino Linotype" w:hAnsi="Palatino Linotype" w:cs="Arial"/>
        </w:rPr>
        <w:t>dieciocho</w:t>
      </w:r>
      <w:r w:rsidR="00C12F5A">
        <w:rPr>
          <w:rFonts w:ascii="Palatino Linotype" w:hAnsi="Palatino Linotype" w:cs="Arial"/>
        </w:rPr>
        <w:t xml:space="preserve"> de septiembre</w:t>
      </w:r>
      <w:r w:rsidRPr="003E1C58">
        <w:rPr>
          <w:rFonts w:ascii="Palatino Linotype" w:hAnsi="Palatino Linotype" w:cs="Arial"/>
        </w:rPr>
        <w:t xml:space="preserve"> de dos mil</w:t>
      </w:r>
      <w:r>
        <w:rPr>
          <w:rFonts w:ascii="Palatino Linotype" w:hAnsi="Palatino Linotype" w:cs="Arial"/>
        </w:rPr>
        <w:t xml:space="preserve"> dieciocho, el Comisionado ponente determinó el cierre de instrucción en los recursos de revisión, en términos de la fracción VI del artículo 185 de la Ley de Transparencia y Acceso a la Información Pública del Estado de México y Municipios.</w:t>
      </w:r>
    </w:p>
    <w:p w:rsidR="00C12F5A" w:rsidRPr="00C25CDC" w:rsidRDefault="00C12F5A" w:rsidP="00C12F5A">
      <w:pPr>
        <w:spacing w:before="100" w:beforeAutospacing="1" w:after="100" w:afterAutospacing="1" w:line="360" w:lineRule="auto"/>
        <w:jc w:val="both"/>
        <w:rPr>
          <w:rFonts w:ascii="Palatino Linotype" w:eastAsiaTheme="minorHAnsi" w:hAnsi="Palatino Linotype" w:cs="Arial"/>
          <w:lang w:val="es-MX" w:eastAsia="en-US"/>
        </w:rPr>
      </w:pPr>
      <w:r>
        <w:rPr>
          <w:rFonts w:ascii="Palatino Linotype" w:eastAsia="Times New Roman" w:hAnsi="Palatino Linotype" w:cs="Arial"/>
          <w:b/>
          <w:color w:val="222222"/>
          <w:lang w:val="es-MX" w:eastAsia="es-MX"/>
        </w:rPr>
        <w:t>NOVENO.</w:t>
      </w:r>
      <w:r>
        <w:rPr>
          <w:rFonts w:ascii="Palatino Linotype" w:eastAsia="Times New Roman" w:hAnsi="Palatino Linotype" w:cs="Arial"/>
          <w:color w:val="222222"/>
          <w:lang w:val="es-MX" w:eastAsia="es-MX"/>
        </w:rPr>
        <w:t xml:space="preserve"> </w:t>
      </w:r>
      <w:r>
        <w:rPr>
          <w:rFonts w:ascii="Palatino Linotype" w:eastAsia="Times New Roman" w:hAnsi="Palatino Linotype" w:cs="Arial"/>
          <w:b/>
          <w:color w:val="222222"/>
          <w:lang w:val="es-MX" w:eastAsia="es-MX"/>
        </w:rPr>
        <w:t>Ampliación de plazo</w:t>
      </w:r>
      <w:r>
        <w:rPr>
          <w:rFonts w:ascii="Palatino Linotype" w:eastAsia="Times New Roman" w:hAnsi="Palatino Linotype" w:cs="Arial"/>
          <w:color w:val="222222"/>
          <w:lang w:val="es-MX" w:eastAsia="es-MX"/>
        </w:rPr>
        <w:t xml:space="preserve">. </w:t>
      </w:r>
      <w:r>
        <w:rPr>
          <w:rFonts w:ascii="Palatino Linotype" w:eastAsiaTheme="minorHAnsi" w:hAnsi="Palatino Linotype" w:cs="Arial"/>
          <w:lang w:val="es-MX" w:eastAsia="en-US"/>
        </w:rPr>
        <w:t xml:space="preserve">En fecha </w:t>
      </w:r>
      <w:r w:rsidR="00EA5236">
        <w:rPr>
          <w:rFonts w:ascii="Palatino Linotype" w:eastAsiaTheme="minorHAnsi" w:hAnsi="Palatino Linotype" w:cs="Arial"/>
          <w:szCs w:val="22"/>
          <w:lang w:val="es-MX" w:eastAsia="en-US"/>
        </w:rPr>
        <w:t>veinticuatro</w:t>
      </w:r>
      <w:r>
        <w:rPr>
          <w:rFonts w:ascii="Palatino Linotype" w:eastAsiaTheme="minorHAnsi" w:hAnsi="Palatino Linotype" w:cs="Arial"/>
          <w:szCs w:val="22"/>
          <w:lang w:val="es-MX" w:eastAsia="en-US"/>
        </w:rPr>
        <w:t xml:space="preserve"> de septiembre de dos mil dieciocho</w:t>
      </w:r>
      <w:r>
        <w:rPr>
          <w:rFonts w:ascii="Palatino Linotype" w:eastAsiaTheme="minorHAnsi" w:hAnsi="Palatino Linotype" w:cs="Arial"/>
          <w:lang w:val="es-MX" w:eastAsia="en-US"/>
        </w:rPr>
        <w:t>, se notificó a la parte recurrente que el plazo de treinta días hábiles para emitir la resolución del presente recurso de revisión, se había ampliado por un periodo de quince días hábiles a fin de realizar un mejor estudio del asunto.</w:t>
      </w:r>
    </w:p>
    <w:p w:rsidR="00C12F5A" w:rsidRPr="000B3870" w:rsidRDefault="00C12F5A" w:rsidP="00C12F5A">
      <w:pPr>
        <w:spacing w:before="100" w:beforeAutospacing="1" w:after="100" w:afterAutospacing="1" w:line="360" w:lineRule="auto"/>
        <w:jc w:val="center"/>
        <w:rPr>
          <w:rFonts w:ascii="Palatino Linotype" w:hAnsi="Palatino Linotype" w:cs="Arial"/>
          <w:b/>
          <w:sz w:val="28"/>
        </w:rPr>
      </w:pPr>
      <w:r w:rsidRPr="000B3870">
        <w:rPr>
          <w:rFonts w:ascii="Palatino Linotype" w:hAnsi="Palatino Linotype" w:cs="Arial"/>
          <w:b/>
          <w:sz w:val="28"/>
        </w:rPr>
        <w:t xml:space="preserve">II. </w:t>
      </w:r>
      <w:r w:rsidRPr="000B3870">
        <w:rPr>
          <w:rFonts w:ascii="Palatino Linotype" w:hAnsi="Palatino Linotype" w:cs="Arial"/>
          <w:b/>
          <w:sz w:val="28"/>
        </w:rPr>
        <w:tab/>
        <w:t>C O N S I D E R A N D O:</w:t>
      </w:r>
    </w:p>
    <w:p w:rsidR="00C12F5A" w:rsidRPr="000B3870" w:rsidRDefault="00C12F5A" w:rsidP="00C12F5A">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PRIMERO. Competencia.</w:t>
      </w:r>
      <w:r w:rsidRPr="000B3870">
        <w:rPr>
          <w:rFonts w:ascii="Palatino Linotype" w:hAnsi="Palatino Linotype" w:cs="Arial"/>
        </w:rPr>
        <w:t xml:space="preserve"> Este Órgano Garante, el Instituto de Transparencia, Acceso a la Información Pública y Protección de Datos Personales del Estado de México y Municipios, es competente para conocer y resolver el presente recurso de revisión interpuesto por el recurrente, conforme a lo establecido en los artículos 6, apartado A de la Constitución Política de los Estados Unidos Mexicanos; 5, párrafos vigésimo, vigésimo primero y vigésimo segundo, fracciones IV, V, VI, VII, VIII y IX,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w:t>
      </w:r>
      <w:r w:rsidRPr="000B3870">
        <w:rPr>
          <w:rFonts w:ascii="Palatino Linotype" w:hAnsi="Palatino Linotype" w:cs="Arial"/>
        </w:rPr>
        <w:lastRenderedPageBreak/>
        <w:t>Transparencia, Acceso a la Información Pública y Protección de Datos Personales del Estado de México y Municipios.</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b/>
        </w:rPr>
        <w:t xml:space="preserve">SEGUNDO. Oportunidad y Pocedibilidad. </w:t>
      </w:r>
      <w:r w:rsidRPr="00663C48">
        <w:rPr>
          <w:rFonts w:ascii="Palatino Linotype" w:hAnsi="Palatino Linotype" w:cs="Arial"/>
        </w:rPr>
        <w:t>Para el análisis de la oportunidad del recurso de revisión, en la especie resulta alusivo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Por otra parte el artículo 166 de la Ley en consulta en su tercer párrafo indica que para el caso de que el </w:t>
      </w:r>
      <w:r w:rsidRPr="00663C48">
        <w:rPr>
          <w:rFonts w:ascii="Palatino Linotype" w:hAnsi="Palatino Linotype" w:cs="Arial"/>
          <w:b/>
        </w:rPr>
        <w:t>Sujeto Obligado</w:t>
      </w:r>
      <w:r w:rsidRPr="00663C48">
        <w:rPr>
          <w:rFonts w:ascii="Palatino Linotype" w:hAnsi="Palatino Linotype" w:cs="Arial"/>
        </w:rPr>
        <w:t xml:space="preserve"> no entregue la respuesta dentro del plazo anteriormente señalado, la solicitud se entenderá como negada, quedando a salvo el derecho del particular de interponer el recurso de revisión.</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En otras palabras, el </w:t>
      </w:r>
      <w:r w:rsidRPr="00663C48">
        <w:rPr>
          <w:rFonts w:ascii="Palatino Linotype" w:hAnsi="Palatino Linotype" w:cs="Arial"/>
          <w:b/>
        </w:rPr>
        <w:t>Sujeto Obligado</w:t>
      </w:r>
      <w:r w:rsidRPr="00663C48">
        <w:rPr>
          <w:rFonts w:ascii="Palatino Linotype" w:hAnsi="Palatino Linotype" w:cs="Arial"/>
        </w:rPr>
        <w:t xml:space="preserve">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De tal manera que, ante la omisión de respuesta por parte del Sujeto Obligado, se constituye lo que se conoce como </w:t>
      </w:r>
      <w:r w:rsidRPr="00663C48">
        <w:rPr>
          <w:rFonts w:ascii="Palatino Linotype" w:hAnsi="Palatino Linotype" w:cs="Arial"/>
          <w:i/>
          <w:iCs/>
        </w:rPr>
        <w:t>negativa ficta</w:t>
      </w:r>
      <w:r w:rsidRPr="00663C48">
        <w:rPr>
          <w:rFonts w:ascii="Palatino Linotype" w:hAnsi="Palatino Linotype" w:cs="Arial"/>
        </w:rPr>
        <w:t xml:space="preserve">, figura jurídica consistente en otorgar un efecto negativo al silencio de la autoridad administrativa en relación a las </w:t>
      </w:r>
      <w:r w:rsidRPr="00663C48">
        <w:rPr>
          <w:rFonts w:ascii="Palatino Linotype" w:hAnsi="Palatino Linotype" w:cs="Arial"/>
        </w:rPr>
        <w:lastRenderedPageBreak/>
        <w:t>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Sin necesidad de determinar una debida oportunidad respecto del momento de presentación del medio de impugnación, pues al no existir una determinación por parte del </w:t>
      </w:r>
      <w:r w:rsidRPr="00663C48">
        <w:rPr>
          <w:rFonts w:ascii="Palatino Linotype" w:hAnsi="Palatino Linotype" w:cs="Arial"/>
          <w:b/>
        </w:rPr>
        <w:t>Sujeto Obligado</w:t>
      </w:r>
      <w:r w:rsidRPr="00663C48">
        <w:rPr>
          <w:rFonts w:ascii="Palatino Linotype" w:hAnsi="Palatino Linotype" w:cs="Arial"/>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C12F5A" w:rsidRPr="002260E7" w:rsidRDefault="00C12F5A" w:rsidP="00C12F5A">
      <w:pPr>
        <w:spacing w:before="100" w:beforeAutospacing="1" w:after="100" w:afterAutospacing="1"/>
        <w:ind w:left="851" w:right="902"/>
        <w:jc w:val="both"/>
        <w:rPr>
          <w:rFonts w:ascii="Palatino Linotype" w:hAnsi="Palatino Linotype" w:cs="Arial"/>
          <w:sz w:val="22"/>
        </w:rPr>
      </w:pPr>
      <w:r w:rsidRPr="002260E7">
        <w:rPr>
          <w:rFonts w:ascii="Palatino Linotype" w:hAnsi="Palatino Linotype" w:cs="Arial"/>
          <w:i/>
          <w:iCs/>
          <w:sz w:val="22"/>
        </w:rPr>
        <w:t>“</w:t>
      </w:r>
      <w:r w:rsidRPr="002260E7">
        <w:rPr>
          <w:rFonts w:ascii="Palatino Linotype" w:hAnsi="Palatino Linotype" w:cs="Arial"/>
          <w:b/>
          <w:bCs/>
          <w:i/>
          <w:iCs/>
          <w:sz w:val="22"/>
        </w:rPr>
        <w:t>Artículo 178</w:t>
      </w:r>
      <w:r w:rsidRPr="002260E7">
        <w:rPr>
          <w:rFonts w:ascii="Palatino Linotype" w:hAnsi="Palatino Linotype" w:cs="Arial"/>
          <w:i/>
          <w:iCs/>
          <w:sz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12F5A" w:rsidRPr="002260E7" w:rsidRDefault="00C12F5A" w:rsidP="00C12F5A">
      <w:pPr>
        <w:spacing w:before="100" w:beforeAutospacing="1" w:after="100" w:afterAutospacing="1"/>
        <w:ind w:left="851" w:right="902"/>
        <w:jc w:val="both"/>
        <w:rPr>
          <w:rFonts w:ascii="Palatino Linotype" w:hAnsi="Palatino Linotype" w:cs="Arial"/>
          <w:sz w:val="22"/>
        </w:rPr>
      </w:pPr>
      <w:r w:rsidRPr="002260E7">
        <w:rPr>
          <w:rFonts w:ascii="Palatino Linotype" w:hAnsi="Palatino Linotype" w:cs="Arial"/>
          <w:b/>
          <w:bCs/>
          <w:i/>
          <w:iCs/>
          <w:sz w:val="22"/>
        </w:rPr>
        <w:t>A falta de respuesta del sujeto obligado, dentro de los plazos establecidos en esta Ley, a una solicitud de acceso a la información pública, el recurso podrá ser interpuesto en cualquier momento,</w:t>
      </w:r>
      <w:r w:rsidRPr="002260E7">
        <w:rPr>
          <w:rFonts w:ascii="Palatino Linotype" w:hAnsi="Palatino Linotype" w:cs="Arial"/>
          <w:i/>
          <w:iCs/>
          <w:sz w:val="22"/>
        </w:rPr>
        <w:t> acompañado con el documento que pruebe la fecha en que presentó la solicitud…”</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C12F5A" w:rsidRPr="00663C48" w:rsidRDefault="00C12F5A" w:rsidP="00C12F5A">
      <w:pPr>
        <w:spacing w:before="100" w:beforeAutospacing="1" w:after="100" w:afterAutospacing="1"/>
        <w:ind w:left="851" w:right="902"/>
        <w:jc w:val="both"/>
        <w:rPr>
          <w:rFonts w:ascii="Palatino Linotype" w:hAnsi="Palatino Linotype" w:cs="Arial"/>
        </w:rPr>
      </w:pPr>
      <w:r w:rsidRPr="002260E7">
        <w:rPr>
          <w:rFonts w:ascii="Palatino Linotype" w:hAnsi="Palatino Linotype" w:cs="Arial"/>
          <w:b/>
          <w:bCs/>
          <w:i/>
          <w:iCs/>
          <w:sz w:val="22"/>
        </w:rPr>
        <w:t>“CRITERIO 0001-15 NEGATIVA FICTA. PLAZO PARA INTERPONER EL RECURSO DE REVISIÓN TRATÁNDOSE DE</w:t>
      </w:r>
      <w:r w:rsidRPr="002260E7">
        <w:rPr>
          <w:rFonts w:ascii="Palatino Linotype" w:hAnsi="Palatino Linotype" w:cs="Arial"/>
          <w:i/>
          <w:iCs/>
          <w:sz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260E7">
        <w:rPr>
          <w:rFonts w:ascii="Palatino Linotype" w:hAnsi="Palatino Linotype" w:cs="Arial"/>
          <w:sz w:val="22"/>
        </w:rPr>
        <w:br/>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Por cuanto hace referencia a la procedibilidad del recurso de revisión, hecho el análisis del formato de interposición del recurso, viendo los requisitos de fondo y forma, se colige la acreditación plena de todos y cada uno de los elementos exigidos por el artículo 180 de la Ley de Transparencia y Acceso a la Información Pública del Estado de México y Municipios, en atención a que fue presentado mediante el formato visible en </w:t>
      </w:r>
      <w:r w:rsidRPr="00663C48">
        <w:rPr>
          <w:rFonts w:ascii="Palatino Linotype" w:hAnsi="Palatino Linotype" w:cs="Arial"/>
          <w:bCs/>
        </w:rPr>
        <w:t>el</w:t>
      </w:r>
      <w:r w:rsidRPr="00663C48">
        <w:rPr>
          <w:rFonts w:ascii="Palatino Linotype" w:hAnsi="Palatino Linotype" w:cs="Arial"/>
        </w:rPr>
        <w:t> </w:t>
      </w:r>
      <w:r w:rsidRPr="00663C48">
        <w:rPr>
          <w:rFonts w:ascii="Palatino Linotype" w:hAnsi="Palatino Linotype" w:cs="Arial"/>
          <w:b/>
          <w:bCs/>
        </w:rPr>
        <w:t>SAIMEX</w:t>
      </w:r>
      <w:r w:rsidRPr="00663C48">
        <w:rPr>
          <w:rFonts w:ascii="Palatino Linotype" w:hAnsi="Palatino Linotype" w:cs="Arial"/>
        </w:rPr>
        <w:t>.</w:t>
      </w:r>
    </w:p>
    <w:p w:rsidR="00C12F5A" w:rsidRPr="00663C48"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lastRenderedPageBreak/>
        <w:t>Por tanto, se advierte que resulta procedente la interposición del recurso, según lo aportado por el recurrente en sus motivos de inconformidad, de acuerdo al artículo 179, fracción VII del ordenamiento legal citado, que a la letra dice: </w:t>
      </w:r>
    </w:p>
    <w:p w:rsidR="00C12F5A" w:rsidRPr="000A5E15" w:rsidRDefault="00C12F5A" w:rsidP="00C12F5A">
      <w:pPr>
        <w:spacing w:before="100" w:beforeAutospacing="1" w:after="100" w:afterAutospacing="1"/>
        <w:ind w:left="851" w:right="902"/>
        <w:jc w:val="both"/>
        <w:rPr>
          <w:rFonts w:ascii="Palatino Linotype" w:hAnsi="Palatino Linotype" w:cs="Arial"/>
          <w:i/>
          <w:sz w:val="22"/>
        </w:rPr>
      </w:pPr>
      <w:r w:rsidRPr="000A5E15">
        <w:rPr>
          <w:rFonts w:ascii="Palatino Linotype" w:hAnsi="Palatino Linotype" w:cs="Arial"/>
          <w:bCs/>
          <w:i/>
          <w:iCs/>
          <w:sz w:val="22"/>
        </w:rPr>
        <w:t>“</w:t>
      </w:r>
      <w:r w:rsidRPr="000A5E15">
        <w:rPr>
          <w:rFonts w:ascii="Palatino Linotype" w:hAnsi="Palatino Linotype" w:cs="Arial"/>
          <w:i/>
          <w:sz w:val="22"/>
        </w:rPr>
        <w:t>Artículo 179. El recurso de revisión es un medio de protección que la Ley otorga a los particulares, para hacer valer su derecho de acceso a la información pública, y procederá en contra de las siguientes causas:</w:t>
      </w:r>
    </w:p>
    <w:p w:rsidR="00C12F5A" w:rsidRPr="000A5E15" w:rsidRDefault="00C12F5A" w:rsidP="00C12F5A">
      <w:pPr>
        <w:spacing w:before="100" w:beforeAutospacing="1" w:after="100" w:afterAutospacing="1"/>
        <w:ind w:left="851" w:right="902"/>
        <w:jc w:val="both"/>
        <w:rPr>
          <w:rFonts w:ascii="Palatino Linotype" w:hAnsi="Palatino Linotype" w:cs="Arial"/>
          <w:bCs/>
          <w:i/>
          <w:iCs/>
          <w:sz w:val="22"/>
        </w:rPr>
      </w:pPr>
      <w:r w:rsidRPr="000A5E15">
        <w:rPr>
          <w:rFonts w:ascii="Palatino Linotype" w:hAnsi="Palatino Linotype" w:cs="Arial"/>
          <w:bCs/>
          <w:i/>
          <w:iCs/>
          <w:sz w:val="22"/>
        </w:rPr>
        <w:t>(…)</w:t>
      </w:r>
    </w:p>
    <w:p w:rsidR="00C12F5A" w:rsidRPr="000A5E15" w:rsidRDefault="00C12F5A" w:rsidP="00C12F5A">
      <w:pPr>
        <w:spacing w:before="100" w:beforeAutospacing="1" w:after="100" w:afterAutospacing="1"/>
        <w:ind w:left="851" w:right="902"/>
        <w:jc w:val="both"/>
        <w:rPr>
          <w:rFonts w:ascii="Palatino Linotype" w:hAnsi="Palatino Linotype" w:cs="Arial"/>
          <w:b/>
          <w:bCs/>
          <w:i/>
          <w:iCs/>
          <w:sz w:val="22"/>
        </w:rPr>
      </w:pPr>
      <w:r w:rsidRPr="000A5E15">
        <w:rPr>
          <w:rFonts w:ascii="Palatino Linotype" w:hAnsi="Palatino Linotype" w:cs="Arial"/>
          <w:b/>
          <w:bCs/>
          <w:i/>
          <w:iCs/>
          <w:sz w:val="22"/>
        </w:rPr>
        <w:t xml:space="preserve">VII. </w:t>
      </w:r>
      <w:r w:rsidRPr="000A5E15">
        <w:rPr>
          <w:rFonts w:ascii="Palatino Linotype" w:hAnsi="Palatino Linotype" w:cs="Arial"/>
          <w:bCs/>
          <w:i/>
          <w:iCs/>
          <w:sz w:val="22"/>
        </w:rPr>
        <w:t xml:space="preserve">La falta de respuesta a una solicitud de acceso a la información; </w:t>
      </w:r>
    </w:p>
    <w:p w:rsidR="00C12F5A" w:rsidRPr="000A5E15" w:rsidRDefault="00C12F5A" w:rsidP="00C12F5A">
      <w:pPr>
        <w:spacing w:before="100" w:beforeAutospacing="1" w:after="100" w:afterAutospacing="1"/>
        <w:ind w:left="851" w:right="902"/>
        <w:jc w:val="both"/>
        <w:rPr>
          <w:rFonts w:ascii="Palatino Linotype" w:hAnsi="Palatino Linotype" w:cs="Arial"/>
          <w:bCs/>
          <w:i/>
          <w:iCs/>
          <w:sz w:val="22"/>
        </w:rPr>
      </w:pPr>
      <w:r w:rsidRPr="000A5E15">
        <w:rPr>
          <w:rFonts w:ascii="Palatino Linotype" w:hAnsi="Palatino Linotype" w:cs="Arial"/>
          <w:bCs/>
          <w:i/>
          <w:iCs/>
          <w:sz w:val="22"/>
        </w:rPr>
        <w:t>(…)</w:t>
      </w:r>
      <w:r w:rsidRPr="000A5E15">
        <w:rPr>
          <w:rFonts w:ascii="Palatino Linotype" w:hAnsi="Palatino Linotype" w:cs="Arial"/>
          <w:bCs/>
          <w:i/>
          <w:iCs/>
          <w:sz w:val="22"/>
          <w:vertAlign w:val="superscript"/>
        </w:rPr>
        <w:footnoteReference w:id="1"/>
      </w:r>
      <w:r w:rsidRPr="000A5E15">
        <w:rPr>
          <w:rFonts w:ascii="Palatino Linotype" w:hAnsi="Palatino Linotype" w:cs="Arial"/>
          <w:i/>
          <w:sz w:val="22"/>
        </w:rPr>
        <w:t> </w:t>
      </w:r>
    </w:p>
    <w:p w:rsidR="00C12F5A" w:rsidRDefault="00C12F5A" w:rsidP="00C12F5A">
      <w:pPr>
        <w:spacing w:before="100" w:beforeAutospacing="1" w:after="100" w:afterAutospacing="1" w:line="360" w:lineRule="auto"/>
        <w:jc w:val="both"/>
        <w:rPr>
          <w:rFonts w:ascii="Palatino Linotype" w:hAnsi="Palatino Linotype" w:cs="Arial"/>
        </w:rPr>
      </w:pPr>
      <w:r w:rsidRPr="00663C48">
        <w:rPr>
          <w:rFonts w:ascii="Palatino Linotype" w:hAnsi="Palatino Linotype" w:cs="Arial"/>
        </w:rPr>
        <w:t xml:space="preserve">Lo anterior se menciona dado que el recurrente se inconforma ya que el </w:t>
      </w:r>
      <w:r w:rsidRPr="00663C48">
        <w:rPr>
          <w:rFonts w:ascii="Palatino Linotype" w:hAnsi="Palatino Linotype" w:cs="Arial"/>
          <w:b/>
        </w:rPr>
        <w:t>Sujeto Obligado</w:t>
      </w:r>
      <w:r w:rsidRPr="00663C48">
        <w:rPr>
          <w:rFonts w:ascii="Palatino Linotype" w:hAnsi="Palatino Linotype" w:cs="Arial"/>
        </w:rPr>
        <w:t xml:space="preserve"> no dio respuesta a la solicitud de información.</w:t>
      </w:r>
    </w:p>
    <w:p w:rsidR="00C12F5A" w:rsidRPr="000B3870" w:rsidRDefault="00C12F5A" w:rsidP="00C12F5A">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 xml:space="preserve">TERCERO. Materia de la Revisión. </w:t>
      </w:r>
      <w:r w:rsidRPr="000B3870">
        <w:rPr>
          <w:rFonts w:ascii="Palatino Linotype" w:hAnsi="Palatino Linotype" w:cs="Arial"/>
        </w:rPr>
        <w:t>De la revisión a las constancias y documentos que obran en el expediente electrónico se advierte, que el tema sobre el que este Órgano Garante de Transparencia y Acceso a la Información se pronunciará será:</w:t>
      </w:r>
    </w:p>
    <w:p w:rsidR="00C12F5A" w:rsidRPr="00263137" w:rsidRDefault="00C12F5A" w:rsidP="00C12F5A">
      <w:pPr>
        <w:numPr>
          <w:ilvl w:val="0"/>
          <w:numId w:val="1"/>
        </w:numPr>
        <w:spacing w:before="100" w:beforeAutospacing="1" w:after="100" w:afterAutospacing="1" w:line="360" w:lineRule="auto"/>
        <w:jc w:val="both"/>
        <w:rPr>
          <w:rFonts w:ascii="Palatino Linotype" w:hAnsi="Palatino Linotype" w:cs="Arial"/>
          <w:b/>
        </w:rPr>
      </w:pPr>
      <w:r w:rsidRPr="000B3870">
        <w:rPr>
          <w:rFonts w:ascii="Palatino Linotype" w:hAnsi="Palatino Linotype" w:cs="Arial"/>
          <w:b/>
        </w:rPr>
        <w:t>Determinar si el Sujeto Obligado posee la información y de ser el caso ordenar la entrega de la misma.</w:t>
      </w:r>
    </w:p>
    <w:p w:rsidR="00C12F5A" w:rsidRPr="000B3870" w:rsidRDefault="00C12F5A" w:rsidP="00C12F5A">
      <w:pPr>
        <w:spacing w:before="100" w:beforeAutospacing="1" w:after="100" w:afterAutospacing="1" w:line="360" w:lineRule="auto"/>
        <w:jc w:val="both"/>
        <w:rPr>
          <w:rFonts w:ascii="Palatino Linotype" w:hAnsi="Palatino Linotype" w:cs="Segoe UI"/>
        </w:rPr>
      </w:pPr>
      <w:r w:rsidRPr="000B3870">
        <w:rPr>
          <w:rFonts w:ascii="Palatino Linotype" w:hAnsi="Palatino Linotype"/>
          <w:b/>
        </w:rPr>
        <w:t>CUARTO. Estudio del asunto</w:t>
      </w:r>
      <w:r w:rsidRPr="000B3870">
        <w:rPr>
          <w:rFonts w:ascii="Palatino Linotype" w:hAnsi="Palatino Linotype"/>
        </w:rPr>
        <w:t xml:space="preserve">. </w:t>
      </w:r>
      <w:r w:rsidRPr="000B3870">
        <w:rPr>
          <w:rFonts w:ascii="Palatino Linotype" w:hAnsi="Palatino Linotype" w:cs="Segoe UI"/>
        </w:rPr>
        <w:t xml:space="preserve">Se hace referencia que la parte recurrente solicitó que el </w:t>
      </w:r>
      <w:r w:rsidRPr="000B3870">
        <w:rPr>
          <w:rFonts w:ascii="Palatino Linotype" w:hAnsi="Palatino Linotype" w:cs="Segoe UI"/>
          <w:b/>
        </w:rPr>
        <w:t>Sujeto Obligado</w:t>
      </w:r>
      <w:r w:rsidRPr="000B3870">
        <w:rPr>
          <w:rFonts w:ascii="Palatino Linotype" w:hAnsi="Palatino Linotype" w:cs="Segoe UI"/>
        </w:rPr>
        <w:t xml:space="preserve">, le hiciera entrega </w:t>
      </w:r>
      <w:r>
        <w:rPr>
          <w:rFonts w:ascii="Palatino Linotype" w:hAnsi="Palatino Linotype" w:cs="Segoe UI"/>
        </w:rPr>
        <w:t xml:space="preserve">de </w:t>
      </w:r>
      <w:r w:rsidRPr="000B3870">
        <w:rPr>
          <w:rFonts w:ascii="Palatino Linotype" w:hAnsi="Palatino Linotype" w:cs="Segoe UI"/>
        </w:rPr>
        <w:t>lo siguiente:</w:t>
      </w:r>
    </w:p>
    <w:p w:rsidR="00C12F5A" w:rsidRPr="007B1D71" w:rsidRDefault="007B1D71" w:rsidP="00C12F5A">
      <w:pPr>
        <w:pStyle w:val="Prrafodelista"/>
        <w:numPr>
          <w:ilvl w:val="0"/>
          <w:numId w:val="2"/>
        </w:numPr>
        <w:spacing w:before="100" w:beforeAutospacing="1" w:after="100" w:afterAutospacing="1" w:line="360" w:lineRule="auto"/>
        <w:jc w:val="both"/>
        <w:rPr>
          <w:rFonts w:ascii="Palatino Linotype" w:hAnsi="Palatino Linotype" w:cs="Segoe UI"/>
          <w:i/>
        </w:rPr>
      </w:pPr>
      <w:r w:rsidRPr="007B1D71">
        <w:rPr>
          <w:rFonts w:ascii="Palatino Linotype" w:hAnsi="Palatino Linotype" w:cs="Segoe UI"/>
        </w:rPr>
        <w:lastRenderedPageBreak/>
        <w:t xml:space="preserve">Presupuesto asignado </w:t>
      </w:r>
      <w:r w:rsidR="00154B81">
        <w:rPr>
          <w:rFonts w:ascii="Palatino Linotype" w:hAnsi="Palatino Linotype" w:cs="Segoe UI"/>
        </w:rPr>
        <w:t xml:space="preserve">al Sujeto Obligado, en el municipio de </w:t>
      </w:r>
      <w:r w:rsidRPr="007B1D71">
        <w:rPr>
          <w:rFonts w:ascii="Palatino Linotype" w:hAnsi="Palatino Linotype" w:cs="Segoe UI"/>
        </w:rPr>
        <w:t>Ixtapaluca, desglosado en rubros con cantidades por candidatura, del ámbito federal, estatal y municipal.</w:t>
      </w:r>
    </w:p>
    <w:p w:rsidR="00C12F5A" w:rsidRDefault="00C12F5A" w:rsidP="00C12F5A">
      <w:pPr>
        <w:spacing w:before="100" w:beforeAutospacing="1" w:after="100" w:afterAutospacing="1" w:line="360" w:lineRule="auto"/>
        <w:jc w:val="both"/>
        <w:rPr>
          <w:rFonts w:ascii="Palatino Linotype" w:hAnsi="Palatino Linotype" w:cs="Segoe UI"/>
        </w:rPr>
      </w:pPr>
      <w:r w:rsidRPr="00E812F8">
        <w:rPr>
          <w:rFonts w:ascii="Palatino Linotype" w:hAnsi="Palatino Linotype" w:cs="Segoe UI"/>
        </w:rPr>
        <w:t>Una vez precisado lo anterior, es relevante mencionar que derivado del análisis realizado a las constancias que integran el presente recurso de revisión se concluye que las razones o motivos de inconformidad vertidos por la recurrente resultan fundados, en atención a lo siguiente:</w:t>
      </w:r>
    </w:p>
    <w:p w:rsidR="008D45E3" w:rsidRDefault="00D51BCB" w:rsidP="00D51BCB">
      <w:pPr>
        <w:spacing w:before="100" w:beforeAutospacing="1" w:after="100" w:afterAutospacing="1" w:line="360" w:lineRule="auto"/>
        <w:jc w:val="both"/>
        <w:rPr>
          <w:rFonts w:ascii="Palatino Linotype" w:hAnsi="Palatino Linotype" w:cs="Segoe UI"/>
        </w:rPr>
      </w:pPr>
      <w:r>
        <w:rPr>
          <w:rFonts w:ascii="Palatino Linotype" w:hAnsi="Palatino Linotype" w:cs="Segoe UI"/>
        </w:rPr>
        <w:t>Ante la negativa del Sujeto Obligado, la parte recurrente, se inconforma argumentando precisamente la omisión de respuesta.</w:t>
      </w:r>
    </w:p>
    <w:p w:rsidR="00EB553C" w:rsidRDefault="00EB553C" w:rsidP="00D51BCB">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En primer término, es preciso mencionar que este Órgano Garante se dio a la tarea de verificar el sitio IPOMEX del Sujeto Obligado, con la finalidad de hallar la </w:t>
      </w:r>
      <w:r w:rsidR="00021CB3">
        <w:rPr>
          <w:rFonts w:ascii="Palatino Linotype" w:hAnsi="Palatino Linotype" w:cs="Segoe UI"/>
        </w:rPr>
        <w:t>información</w:t>
      </w:r>
      <w:r>
        <w:rPr>
          <w:rFonts w:ascii="Palatino Linotype" w:hAnsi="Palatino Linotype" w:cs="Segoe UI"/>
        </w:rPr>
        <w:t xml:space="preserve"> que solicita la parte recurrente encontrando lo siguiente:</w:t>
      </w:r>
    </w:p>
    <w:p w:rsidR="00EB553C" w:rsidRDefault="00021CB3" w:rsidP="00021CB3">
      <w:pPr>
        <w:spacing w:before="100" w:beforeAutospacing="1" w:after="100" w:afterAutospacing="1" w:line="360" w:lineRule="auto"/>
        <w:jc w:val="center"/>
        <w:rPr>
          <w:rFonts w:ascii="Palatino Linotype" w:hAnsi="Palatino Linotype" w:cs="Segoe UI"/>
        </w:rPr>
      </w:pPr>
      <w:r>
        <w:rPr>
          <w:noProof/>
          <w:lang w:val="es-MX" w:eastAsia="es-MX"/>
        </w:rPr>
        <w:drawing>
          <wp:inline distT="0" distB="0" distL="0" distR="0" wp14:anchorId="344BF017" wp14:editId="4BDD064A">
            <wp:extent cx="3657600" cy="30714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82" t="6396" r="24455" b="15723"/>
                    <a:stretch/>
                  </pic:blipFill>
                  <pic:spPr bwMode="auto">
                    <a:xfrm>
                      <a:off x="0" y="0"/>
                      <a:ext cx="3663985" cy="3076858"/>
                    </a:xfrm>
                    <a:prstGeom prst="rect">
                      <a:avLst/>
                    </a:prstGeom>
                    <a:ln>
                      <a:noFill/>
                    </a:ln>
                    <a:extLst>
                      <a:ext uri="{53640926-AAD7-44D8-BBD7-CCE9431645EC}">
                        <a14:shadowObscured xmlns:a14="http://schemas.microsoft.com/office/drawing/2010/main"/>
                      </a:ext>
                    </a:extLst>
                  </pic:spPr>
                </pic:pic>
              </a:graphicData>
            </a:graphic>
          </wp:inline>
        </w:drawing>
      </w:r>
    </w:p>
    <w:p w:rsidR="00021CB3" w:rsidRDefault="00021CB3" w:rsidP="00021CB3">
      <w:pPr>
        <w:spacing w:before="100" w:beforeAutospacing="1" w:after="100" w:afterAutospacing="1" w:line="360" w:lineRule="auto"/>
        <w:jc w:val="center"/>
        <w:rPr>
          <w:rFonts w:ascii="Palatino Linotype" w:hAnsi="Palatino Linotype" w:cs="Segoe UI"/>
        </w:rPr>
      </w:pPr>
      <w:r>
        <w:rPr>
          <w:noProof/>
          <w:lang w:val="es-MX" w:eastAsia="es-MX"/>
        </w:rPr>
        <w:lastRenderedPageBreak/>
        <w:drawing>
          <wp:inline distT="0" distB="0" distL="0" distR="0" wp14:anchorId="63E20651" wp14:editId="24A97BEE">
            <wp:extent cx="4013860" cy="337622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05" t="6396" r="24246" b="15916"/>
                    <a:stretch/>
                  </pic:blipFill>
                  <pic:spPr bwMode="auto">
                    <a:xfrm>
                      <a:off x="0" y="0"/>
                      <a:ext cx="4022476" cy="3383468"/>
                    </a:xfrm>
                    <a:prstGeom prst="rect">
                      <a:avLst/>
                    </a:prstGeom>
                    <a:ln>
                      <a:noFill/>
                    </a:ln>
                    <a:extLst>
                      <a:ext uri="{53640926-AAD7-44D8-BBD7-CCE9431645EC}">
                        <a14:shadowObscured xmlns:a14="http://schemas.microsoft.com/office/drawing/2010/main"/>
                      </a:ext>
                    </a:extLst>
                  </pic:spPr>
                </pic:pic>
              </a:graphicData>
            </a:graphic>
          </wp:inline>
        </w:drawing>
      </w:r>
    </w:p>
    <w:p w:rsidR="00021CB3" w:rsidRDefault="00021CB3" w:rsidP="00021CB3">
      <w:pPr>
        <w:spacing w:before="100" w:beforeAutospacing="1" w:after="100" w:afterAutospacing="1" w:line="360" w:lineRule="auto"/>
        <w:jc w:val="both"/>
        <w:rPr>
          <w:rFonts w:ascii="Palatino Linotype" w:hAnsi="Palatino Linotype" w:cs="Segoe UI"/>
        </w:rPr>
      </w:pPr>
      <w:r>
        <w:rPr>
          <w:rFonts w:ascii="Palatino Linotype" w:hAnsi="Palatino Linotype" w:cs="Segoe UI"/>
        </w:rPr>
        <w:t>De las imágenes insertas anteriores, se puede visualizar que el sitio electrónico IPOMEX no se encuentra actualizado, al igual que no se advierte que tenga actualizaciones recientes, situación que no está apegada a lo que la Ley de Transparencia vigente señala en la fracción XII del artículo</w:t>
      </w:r>
      <w:r w:rsidR="006E042E">
        <w:rPr>
          <w:rFonts w:ascii="Palatino Linotype" w:hAnsi="Palatino Linotype" w:cs="Segoe UI"/>
        </w:rPr>
        <w:t xml:space="preserve"> 24, los</w:t>
      </w:r>
      <w:r>
        <w:rPr>
          <w:rFonts w:ascii="Palatino Linotype" w:hAnsi="Palatino Linotype" w:cs="Segoe UI"/>
        </w:rPr>
        <w:t xml:space="preserve"> </w:t>
      </w:r>
      <w:r w:rsidR="006E042E">
        <w:rPr>
          <w:rFonts w:ascii="Palatino Linotype" w:hAnsi="Palatino Linotype" w:cs="Segoe UI"/>
        </w:rPr>
        <w:t>artículo</w:t>
      </w:r>
      <w:r w:rsidR="00A67764">
        <w:rPr>
          <w:rFonts w:ascii="Palatino Linotype" w:hAnsi="Palatino Linotype" w:cs="Segoe UI"/>
        </w:rPr>
        <w:t>s</w:t>
      </w:r>
      <w:r>
        <w:rPr>
          <w:rFonts w:ascii="Palatino Linotype" w:hAnsi="Palatino Linotype" w:cs="Segoe UI"/>
        </w:rPr>
        <w:t xml:space="preserve"> 75</w:t>
      </w:r>
      <w:r w:rsidR="006E042E">
        <w:rPr>
          <w:rFonts w:ascii="Palatino Linotype" w:hAnsi="Palatino Linotype" w:cs="Segoe UI"/>
        </w:rPr>
        <w:t xml:space="preserve"> y 77, que establecen lo siguiente:</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“Artículo 24. Para el cumplimiento de los objetivos de esta Ley, los sujetos obligados deberán cumplir con las siguientes obligaciones, según corresponda, de acuerdo a su naturaleza:</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XII. Publicar y mantener actualizada la información relativa a las obligaciones generales de transparencia previstas en la presente Ley o determinadas así por el Instituto, y en general aquella que sea de interés público; (…)”</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lastRenderedPageBreak/>
        <w:t xml:space="preserve">“Artículo 75. Es obligación de los sujetos obligados el poner a disposición de los particulares la información a que se refiere esta Ley a través de sus sitios de Internet y de la Plataforma Nacional. </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La Plataforma electrónica promoverá el uso de la información original escaneada y las versiones en datos abiertos y/o formatos editables, según corresponda, de los documentos fuente.”</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 xml:space="preserve">“Artículo 77.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w:t>
      </w:r>
    </w:p>
    <w:p w:rsidR="006E042E" w:rsidRPr="006E042E" w:rsidRDefault="006E042E" w:rsidP="006E042E">
      <w:pPr>
        <w:spacing w:before="100" w:beforeAutospacing="1" w:after="100" w:afterAutospacing="1"/>
        <w:ind w:left="851" w:right="851"/>
        <w:jc w:val="both"/>
        <w:rPr>
          <w:rFonts w:ascii="Palatino Linotype" w:hAnsi="Palatino Linotype" w:cs="Segoe UI"/>
          <w:i/>
          <w:sz w:val="22"/>
        </w:rPr>
      </w:pPr>
      <w:r w:rsidRPr="006E042E">
        <w:rPr>
          <w:rFonts w:ascii="Palatino Linotype" w:hAnsi="Palatino Linotype" w:cs="Segoe UI"/>
          <w:i/>
          <w:sz w:val="22"/>
        </w:rPr>
        <w:t>La publicación de la información deberá indicar el sujeto obligado encargado de generarla, así como la fecha de su última actualización.”</w:t>
      </w:r>
    </w:p>
    <w:p w:rsidR="006E042E" w:rsidRDefault="006E042E"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De los dispositivos invocados se deprende que:</w:t>
      </w:r>
    </w:p>
    <w:p w:rsidR="006E042E" w:rsidRPr="005300A7" w:rsidRDefault="006E042E" w:rsidP="005300A7">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300A7">
        <w:rPr>
          <w:rFonts w:ascii="Palatino Linotype" w:hAnsi="Palatino Linotype" w:cs="Arial"/>
          <w:lang w:eastAsia="es-MX"/>
        </w:rPr>
        <w:t xml:space="preserve">Es obligación de los Sujetos Obligados, para el caso concreto del Partido Morena, publicar y mantener actualizada la información relativa a las obligaciones generales </w:t>
      </w:r>
      <w:r w:rsidR="005300A7" w:rsidRPr="005300A7">
        <w:rPr>
          <w:rFonts w:ascii="Palatino Linotype" w:hAnsi="Palatino Linotype" w:cs="Arial"/>
          <w:lang w:eastAsia="es-MX"/>
        </w:rPr>
        <w:t xml:space="preserve">y específicas </w:t>
      </w:r>
      <w:r w:rsidRPr="005300A7">
        <w:rPr>
          <w:rFonts w:ascii="Palatino Linotype" w:hAnsi="Palatino Linotype" w:cs="Arial"/>
          <w:lang w:eastAsia="es-MX"/>
        </w:rPr>
        <w:t>de transparencia.</w:t>
      </w:r>
    </w:p>
    <w:p w:rsidR="006E042E" w:rsidRPr="005300A7" w:rsidRDefault="006E042E" w:rsidP="005300A7">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300A7">
        <w:rPr>
          <w:rFonts w:ascii="Palatino Linotype" w:hAnsi="Palatino Linotype" w:cs="Arial"/>
          <w:lang w:eastAsia="es-MX"/>
        </w:rPr>
        <w:t xml:space="preserve">Los Sujetos Obligados deben poner a disposición de los particulares la </w:t>
      </w:r>
      <w:r w:rsidR="005300A7" w:rsidRPr="005300A7">
        <w:rPr>
          <w:rFonts w:ascii="Palatino Linotype" w:hAnsi="Palatino Linotype" w:cs="Arial"/>
          <w:lang w:eastAsia="es-MX"/>
        </w:rPr>
        <w:t>información</w:t>
      </w:r>
      <w:r w:rsidRPr="005300A7">
        <w:rPr>
          <w:rFonts w:ascii="Palatino Linotype" w:hAnsi="Palatino Linotype" w:cs="Arial"/>
          <w:lang w:eastAsia="es-MX"/>
        </w:rPr>
        <w:t xml:space="preserve"> que enmarca la Ley a través de sus sitios de internet y para el caso concreto a través del sitio IPOMEX.</w:t>
      </w:r>
    </w:p>
    <w:p w:rsidR="006E042E" w:rsidRPr="005300A7" w:rsidRDefault="006E042E" w:rsidP="005300A7">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300A7">
        <w:rPr>
          <w:rFonts w:ascii="Palatino Linotype" w:hAnsi="Palatino Linotype" w:cs="Arial"/>
          <w:lang w:eastAsia="es-MX"/>
        </w:rPr>
        <w:t xml:space="preserve">La información debe ser actualizada </w:t>
      </w:r>
      <w:r w:rsidR="005300A7" w:rsidRPr="005300A7">
        <w:rPr>
          <w:rFonts w:ascii="Palatino Linotype" w:hAnsi="Palatino Linotype" w:cs="Arial"/>
          <w:lang w:eastAsia="es-MX"/>
        </w:rPr>
        <w:t>por lo menos cada tres meses.</w:t>
      </w:r>
    </w:p>
    <w:p w:rsidR="005300A7" w:rsidRPr="005300A7" w:rsidRDefault="005300A7" w:rsidP="005300A7">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300A7">
        <w:rPr>
          <w:rFonts w:ascii="Palatino Linotype" w:hAnsi="Palatino Linotype" w:cs="Arial"/>
          <w:lang w:eastAsia="es-MX"/>
        </w:rPr>
        <w:t xml:space="preserve">De la verificación realizada por este Instituto al portal IPOMEX, se halló que dicho portal no se encuentra actualizado, por tal motivo el Sujeto Obligado incumple las obligaciones de transparencia que la Ley de la materia le indican, por lo que se le instruye para que de manera pronta realice las </w:t>
      </w:r>
      <w:r w:rsidRPr="005300A7">
        <w:rPr>
          <w:rFonts w:ascii="Palatino Linotype" w:hAnsi="Palatino Linotype" w:cs="Arial"/>
          <w:lang w:eastAsia="es-MX"/>
        </w:rPr>
        <w:lastRenderedPageBreak/>
        <w:t>acciones necesarias para que se dé cumplimiento a las obligaciones que refiere la Ley de Transparencia vigente.</w:t>
      </w:r>
    </w:p>
    <w:p w:rsidR="00A67764" w:rsidRDefault="00A67764" w:rsidP="00DC6AE8">
      <w:pPr>
        <w:autoSpaceDE w:val="0"/>
        <w:autoSpaceDN w:val="0"/>
        <w:adjustRightInd w:val="0"/>
        <w:spacing w:before="100" w:beforeAutospacing="1" w:after="100" w:afterAutospacing="1" w:line="360" w:lineRule="auto"/>
        <w:jc w:val="both"/>
        <w:rPr>
          <w:rFonts w:ascii="Palatino Linotype" w:hAnsi="Palatino Linotype" w:cs="Arial"/>
          <w:i/>
          <w:lang w:eastAsia="es-MX"/>
        </w:rPr>
      </w:pPr>
      <w:r>
        <w:rPr>
          <w:rFonts w:ascii="Palatino Linotype" w:hAnsi="Palatino Linotype" w:cs="Arial"/>
          <w:lang w:eastAsia="es-MX"/>
        </w:rPr>
        <w:t xml:space="preserve">Siguiendo con el presente análisis, se recuerda que la parte recurrente solicitó </w:t>
      </w:r>
      <w:r w:rsidRPr="00A67764">
        <w:rPr>
          <w:rFonts w:ascii="Palatino Linotype" w:hAnsi="Palatino Linotype" w:cs="Arial"/>
          <w:i/>
          <w:lang w:eastAsia="es-MX"/>
        </w:rPr>
        <w:t>“</w:t>
      </w:r>
      <w:r>
        <w:rPr>
          <w:rFonts w:ascii="Palatino Linotype" w:hAnsi="Palatino Linotype" w:cs="Arial"/>
          <w:i/>
          <w:lang w:eastAsia="es-MX"/>
        </w:rPr>
        <w:t>…</w:t>
      </w:r>
      <w:r w:rsidRPr="00A67764">
        <w:rPr>
          <w:rFonts w:ascii="Palatino Linotype" w:hAnsi="Palatino Linotype" w:cs="Arial"/>
          <w:i/>
          <w:lang w:eastAsia="es-MX"/>
        </w:rPr>
        <w:t xml:space="preserve"> el presupuesto asignado al partido Morena en Ixtapaluca, desglosado en los diversos rubros con cantidades por candidatura desde federal hasta local y ayuntamiento, con sus cantidades respectivas</w:t>
      </w:r>
      <w:r>
        <w:rPr>
          <w:rFonts w:ascii="Palatino Linotype" w:hAnsi="Palatino Linotype" w:cs="Arial"/>
          <w:i/>
          <w:lang w:eastAsia="es-MX"/>
        </w:rPr>
        <w:t>” (sic.)</w:t>
      </w:r>
    </w:p>
    <w:p w:rsidR="00A67764" w:rsidRPr="00A67764" w:rsidRDefault="00A67764" w:rsidP="00A67764">
      <w:pPr>
        <w:autoSpaceDE w:val="0"/>
        <w:autoSpaceDN w:val="0"/>
        <w:adjustRightInd w:val="0"/>
        <w:spacing w:before="100" w:beforeAutospacing="1" w:after="100" w:afterAutospacing="1" w:line="360" w:lineRule="auto"/>
        <w:jc w:val="both"/>
        <w:rPr>
          <w:rFonts w:ascii="Palatino Linotype" w:hAnsi="Palatino Linotype" w:cs="Arial"/>
          <w:bCs/>
          <w:lang w:val="es-MX" w:eastAsia="es-MX"/>
        </w:rPr>
      </w:pPr>
      <w:r>
        <w:rPr>
          <w:rFonts w:ascii="Palatino Linotype" w:hAnsi="Palatino Linotype" w:cs="Arial"/>
          <w:bCs/>
          <w:lang w:val="es-MX" w:eastAsia="es-MX"/>
        </w:rPr>
        <w:t xml:space="preserve">En ese sentido, es de suma importancia traer a colación la definición de presupuesto, según el Glosario de Términos Administrativos, publicado por la </w:t>
      </w:r>
      <w:r w:rsidR="004F2C48">
        <w:rPr>
          <w:rFonts w:ascii="Palatino Linotype" w:hAnsi="Palatino Linotype" w:cs="Arial"/>
          <w:bCs/>
          <w:lang w:val="es-MX" w:eastAsia="es-MX"/>
        </w:rPr>
        <w:t>Coordinación</w:t>
      </w:r>
      <w:r>
        <w:rPr>
          <w:rFonts w:ascii="Palatino Linotype" w:hAnsi="Palatino Linotype" w:cs="Arial"/>
          <w:bCs/>
          <w:lang w:val="es-MX" w:eastAsia="es-MX"/>
        </w:rPr>
        <w:t xml:space="preserve"> General de </w:t>
      </w:r>
      <w:r w:rsidR="004F2C48">
        <w:rPr>
          <w:rFonts w:ascii="Palatino Linotype" w:hAnsi="Palatino Linotype" w:cs="Arial"/>
          <w:bCs/>
          <w:lang w:val="es-MX" w:eastAsia="es-MX"/>
        </w:rPr>
        <w:t>Estudios Administrativos en el año de 1985</w:t>
      </w:r>
      <w:r>
        <w:rPr>
          <w:rFonts w:ascii="Palatino Linotype" w:hAnsi="Palatino Linotype" w:cs="Arial"/>
          <w:bCs/>
          <w:lang w:val="es-MX" w:eastAsia="es-MX"/>
        </w:rPr>
        <w:t>, que reza de la siguiente manera:</w:t>
      </w:r>
    </w:p>
    <w:p w:rsidR="00A67764" w:rsidRPr="004F2C48" w:rsidRDefault="004F2C48" w:rsidP="004F2C48">
      <w:pPr>
        <w:autoSpaceDE w:val="0"/>
        <w:autoSpaceDN w:val="0"/>
        <w:adjustRightInd w:val="0"/>
        <w:spacing w:before="100" w:beforeAutospacing="1" w:after="100" w:afterAutospacing="1"/>
        <w:ind w:left="851" w:right="851"/>
        <w:jc w:val="both"/>
        <w:rPr>
          <w:rFonts w:ascii="Palatino Linotype" w:hAnsi="Palatino Linotype" w:cs="Arial"/>
          <w:b/>
          <w:bCs/>
          <w:i/>
          <w:lang w:val="es-MX" w:eastAsia="es-MX"/>
        </w:rPr>
      </w:pPr>
      <w:r>
        <w:rPr>
          <w:rFonts w:ascii="Palatino Linotype" w:hAnsi="Palatino Linotype" w:cs="Arial"/>
          <w:b/>
          <w:bCs/>
          <w:i/>
          <w:lang w:val="es-MX" w:eastAsia="es-MX"/>
        </w:rPr>
        <w:t>“</w:t>
      </w:r>
      <w:r w:rsidR="00A67764" w:rsidRPr="004F2C48">
        <w:rPr>
          <w:rFonts w:ascii="Palatino Linotype" w:hAnsi="Palatino Linotype" w:cs="Arial"/>
          <w:b/>
          <w:bCs/>
          <w:i/>
          <w:lang w:val="es-MX" w:eastAsia="es-MX"/>
        </w:rPr>
        <w:t>PRESUPUESTO</w:t>
      </w:r>
    </w:p>
    <w:p w:rsidR="00A67764" w:rsidRPr="004F2C48" w:rsidRDefault="00A67764" w:rsidP="004F2C48">
      <w:pPr>
        <w:autoSpaceDE w:val="0"/>
        <w:autoSpaceDN w:val="0"/>
        <w:adjustRightInd w:val="0"/>
        <w:spacing w:before="100" w:beforeAutospacing="1" w:after="100" w:afterAutospacing="1"/>
        <w:ind w:left="851" w:right="851"/>
        <w:jc w:val="both"/>
        <w:rPr>
          <w:rFonts w:ascii="Palatino Linotype" w:hAnsi="Palatino Linotype" w:cs="Arial"/>
          <w:i/>
          <w:lang w:val="es-MX" w:eastAsia="es-MX"/>
        </w:rPr>
      </w:pPr>
      <w:r w:rsidRPr="004F2C48">
        <w:rPr>
          <w:rFonts w:ascii="Palatino Linotype" w:hAnsi="Palatino Linotype" w:cs="Arial"/>
          <w:i/>
          <w:lang w:val="es-MX" w:eastAsia="es-MX"/>
        </w:rPr>
        <w:t>Estimación programada en forma sistemática de los ingresos y egresos que maneja un organismo en un período determinado. Puede considerarse como un plan de acción expresado en términos monetarios, y cuyo ejercicio abarca generalmente un año de actividad.</w:t>
      </w:r>
      <w:r w:rsidR="004F2C48">
        <w:rPr>
          <w:rFonts w:ascii="Palatino Linotype" w:hAnsi="Palatino Linotype" w:cs="Arial"/>
          <w:i/>
          <w:lang w:val="es-MX" w:eastAsia="es-MX"/>
        </w:rPr>
        <w:t>”</w:t>
      </w:r>
    </w:p>
    <w:p w:rsidR="00D25162" w:rsidRDefault="004F2C48"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 xml:space="preserve">Correlacionado con lo anterior </w:t>
      </w:r>
      <w:r w:rsidR="00DC6AE8" w:rsidRPr="00381597">
        <w:rPr>
          <w:rFonts w:ascii="Palatino Linotype" w:hAnsi="Palatino Linotype" w:cs="Arial"/>
          <w:lang w:eastAsia="es-MX"/>
        </w:rPr>
        <w:t xml:space="preserve">y términos de los </w:t>
      </w:r>
      <w:r w:rsidR="005300A7" w:rsidRPr="00381597">
        <w:rPr>
          <w:rFonts w:ascii="Palatino Linotype" w:hAnsi="Palatino Linotype" w:cs="Arial"/>
          <w:lang w:eastAsia="es-MX"/>
        </w:rPr>
        <w:t>artículo</w:t>
      </w:r>
      <w:r w:rsidR="005300A7">
        <w:rPr>
          <w:rFonts w:ascii="Palatino Linotype" w:hAnsi="Palatino Linotype" w:cs="Arial"/>
          <w:lang w:eastAsia="es-MX"/>
        </w:rPr>
        <w:t>s</w:t>
      </w:r>
      <w:r w:rsidR="00DC6AE8" w:rsidRPr="00381597">
        <w:rPr>
          <w:rFonts w:ascii="Palatino Linotype" w:hAnsi="Palatino Linotype" w:cs="Arial"/>
          <w:lang w:eastAsia="es-MX"/>
        </w:rPr>
        <w:t xml:space="preserve"> 13 y 181 de la Ley de la materia, se aplica la suplencia de la deficiencia en favor del recurrente, precisando que a la información a la que q</w:t>
      </w:r>
      <w:r>
        <w:rPr>
          <w:rFonts w:ascii="Palatino Linotype" w:hAnsi="Palatino Linotype" w:cs="Arial"/>
          <w:lang w:eastAsia="es-MX"/>
        </w:rPr>
        <w:t xml:space="preserve">uiere acceder, es relativa a la asignación de recursos, técnicamente denominado </w:t>
      </w:r>
      <w:r w:rsidR="00160DF9">
        <w:rPr>
          <w:rFonts w:ascii="Palatino Linotype" w:hAnsi="Palatino Linotype" w:cs="Arial"/>
          <w:lang w:eastAsia="es-MX"/>
        </w:rPr>
        <w:t xml:space="preserve">financiamiento, que comprende los ingresos y egresos </w:t>
      </w:r>
      <w:r w:rsidR="00D25162">
        <w:rPr>
          <w:rFonts w:ascii="Palatino Linotype" w:hAnsi="Palatino Linotype" w:cs="Arial"/>
          <w:lang w:eastAsia="es-MX"/>
        </w:rPr>
        <w:t>recibidos por el partido político, solamente en el ámbito estatal y municipal</w:t>
      </w:r>
      <w:r w:rsidR="00154B81">
        <w:rPr>
          <w:rFonts w:ascii="Palatino Linotype" w:hAnsi="Palatino Linotype" w:cs="Arial"/>
          <w:lang w:eastAsia="es-MX"/>
        </w:rPr>
        <w:t>, se hace la precisión anterior toda vez que la parte recurrente solicitó lo relativo al ámbito local, entendido este como lo estatal</w:t>
      </w:r>
      <w:r w:rsidR="00D25162">
        <w:rPr>
          <w:rFonts w:ascii="Palatino Linotype" w:hAnsi="Palatino Linotype" w:cs="Arial"/>
          <w:lang w:eastAsia="es-MX"/>
        </w:rPr>
        <w:t xml:space="preserve">, en su caso, ahora, al no precisar el periodo por </w:t>
      </w:r>
      <w:r w:rsidR="00D25162">
        <w:rPr>
          <w:rFonts w:ascii="Palatino Linotype" w:hAnsi="Palatino Linotype" w:cs="Arial"/>
          <w:lang w:eastAsia="es-MX"/>
        </w:rPr>
        <w:lastRenderedPageBreak/>
        <w:t>el cual se requiere la información se estima que es dable la referente al proceso electoral 2017-2018.</w:t>
      </w:r>
    </w:p>
    <w:p w:rsidR="009B135B" w:rsidRDefault="009B135B"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Así mismo, se hace mención que en cuanto se refiere al presupuesto estatal y municipal, es procedente, toda vez que Ixtapaluca es el Distrito Electoral número 40 en el Estado de México, según la cartografía del Instituto Electoral del Estado de México, como se puede apreciar a continuación:</w:t>
      </w:r>
    </w:p>
    <w:p w:rsidR="009B135B" w:rsidRPr="00381597" w:rsidRDefault="009B135B" w:rsidP="009B135B">
      <w:pPr>
        <w:autoSpaceDE w:val="0"/>
        <w:autoSpaceDN w:val="0"/>
        <w:adjustRightInd w:val="0"/>
        <w:spacing w:before="100" w:beforeAutospacing="1" w:after="100" w:afterAutospacing="1" w:line="360" w:lineRule="auto"/>
        <w:jc w:val="center"/>
        <w:rPr>
          <w:rFonts w:ascii="Palatino Linotype" w:hAnsi="Palatino Linotype" w:cs="Arial"/>
          <w:lang w:eastAsia="es-MX"/>
        </w:rPr>
      </w:pPr>
      <w:r>
        <w:rPr>
          <w:noProof/>
          <w:lang w:val="es-MX" w:eastAsia="es-MX"/>
        </w:rPr>
        <w:drawing>
          <wp:inline distT="0" distB="0" distL="0" distR="0" wp14:anchorId="00D793FB" wp14:editId="7EED40DC">
            <wp:extent cx="4343400" cy="389601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29" t="8248" r="24643" b="7664"/>
                    <a:stretch/>
                  </pic:blipFill>
                  <pic:spPr bwMode="auto">
                    <a:xfrm>
                      <a:off x="0" y="0"/>
                      <a:ext cx="4351709" cy="3903465"/>
                    </a:xfrm>
                    <a:prstGeom prst="rect">
                      <a:avLst/>
                    </a:prstGeom>
                    <a:ln>
                      <a:noFill/>
                    </a:ln>
                    <a:extLst>
                      <a:ext uri="{53640926-AAD7-44D8-BBD7-CCE9431645EC}">
                        <a14:shadowObscured xmlns:a14="http://schemas.microsoft.com/office/drawing/2010/main"/>
                      </a:ext>
                    </a:extLst>
                  </pic:spPr>
                </pic:pic>
              </a:graphicData>
            </a:graphic>
          </wp:inline>
        </w:drawing>
      </w:r>
    </w:p>
    <w:p w:rsidR="009B135B" w:rsidRDefault="009B135B"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lastRenderedPageBreak/>
        <w:t>Relacionado con lo anterior, para mayor referencia se insertan las siguientes imágenes</w:t>
      </w:r>
      <w:r w:rsidR="009C1136">
        <w:rPr>
          <w:rStyle w:val="Refdenotaalpie"/>
          <w:rFonts w:ascii="Palatino Linotype" w:hAnsi="Palatino Linotype" w:cs="Arial"/>
          <w:lang w:eastAsia="es-MX"/>
        </w:rPr>
        <w:footnoteReference w:id="2"/>
      </w:r>
      <w:r>
        <w:rPr>
          <w:rFonts w:ascii="Palatino Linotype" w:hAnsi="Palatino Linotype" w:cs="Arial"/>
          <w:lang w:eastAsia="es-MX"/>
        </w:rPr>
        <w:t>:</w:t>
      </w:r>
    </w:p>
    <w:p w:rsidR="009B135B" w:rsidRDefault="009B135B"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1557655</wp:posOffset>
                </wp:positionV>
                <wp:extent cx="5448300" cy="158750"/>
                <wp:effectExtent l="19050" t="19050" r="19050" b="12700"/>
                <wp:wrapNone/>
                <wp:docPr id="6" name="Rectángulo 6"/>
                <wp:cNvGraphicFramePr/>
                <a:graphic xmlns:a="http://schemas.openxmlformats.org/drawingml/2006/main">
                  <a:graphicData uri="http://schemas.microsoft.com/office/word/2010/wordprocessingShape">
                    <wps:wsp>
                      <wps:cNvSpPr/>
                      <wps:spPr>
                        <a:xfrm>
                          <a:off x="0" y="0"/>
                          <a:ext cx="5448300" cy="158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8EA58" id="Rectángulo 6" o:spid="_x0000_s1026" style="position:absolute;margin-left:0;margin-top:122.65pt;width:429pt;height:12.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" filled="f" strokecolor="red" strokeweight="3pt">
                <w10:wrap anchorx="margin"/>
              </v:rect>
            </w:pict>
          </mc:Fallback>
        </mc:AlternateContent>
      </w:r>
      <w:r>
        <w:rPr>
          <w:noProof/>
          <w:lang w:val="es-MX" w:eastAsia="es-MX"/>
        </w:rPr>
        <w:drawing>
          <wp:inline distT="0" distB="0" distL="0" distR="0" wp14:anchorId="13444634" wp14:editId="1E0BED17">
            <wp:extent cx="5448300" cy="242909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3" t="7242" r="6088" b="21545"/>
                    <a:stretch/>
                  </pic:blipFill>
                  <pic:spPr bwMode="auto">
                    <a:xfrm>
                      <a:off x="0" y="0"/>
                      <a:ext cx="5452723" cy="2431063"/>
                    </a:xfrm>
                    <a:prstGeom prst="rect">
                      <a:avLst/>
                    </a:prstGeom>
                    <a:ln>
                      <a:noFill/>
                    </a:ln>
                    <a:extLst>
                      <a:ext uri="{53640926-AAD7-44D8-BBD7-CCE9431645EC}">
                        <a14:shadowObscured xmlns:a14="http://schemas.microsoft.com/office/drawing/2010/main"/>
                      </a:ext>
                    </a:extLst>
                  </pic:spPr>
                </pic:pic>
              </a:graphicData>
            </a:graphic>
          </wp:inline>
        </w:drawing>
      </w:r>
    </w:p>
    <w:p w:rsidR="009B135B" w:rsidRDefault="009B135B"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noProof/>
          <w:lang w:val="es-MX" w:eastAsia="es-MX"/>
        </w:rPr>
        <mc:AlternateContent>
          <mc:Choice Requires="wps">
            <w:drawing>
              <wp:anchor distT="0" distB="0" distL="114300" distR="114300" simplePos="0" relativeHeight="251661312" behindDoc="0" locked="0" layoutInCell="1" allowOverlap="1" wp14:anchorId="297A58AA" wp14:editId="55A830B2">
                <wp:simplePos x="0" y="0"/>
                <wp:positionH relativeFrom="margin">
                  <wp:posOffset>12065</wp:posOffset>
                </wp:positionH>
                <wp:positionV relativeFrom="paragraph">
                  <wp:posOffset>1844675</wp:posOffset>
                </wp:positionV>
                <wp:extent cx="5448300" cy="158750"/>
                <wp:effectExtent l="19050" t="19050" r="19050" b="12700"/>
                <wp:wrapNone/>
                <wp:docPr id="7" name="Rectángulo 7"/>
                <wp:cNvGraphicFramePr/>
                <a:graphic xmlns:a="http://schemas.openxmlformats.org/drawingml/2006/main">
                  <a:graphicData uri="http://schemas.microsoft.com/office/word/2010/wordprocessingShape">
                    <wps:wsp>
                      <wps:cNvSpPr/>
                      <wps:spPr>
                        <a:xfrm>
                          <a:off x="0" y="0"/>
                          <a:ext cx="5448300" cy="158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CA521" id="Rectángulo 7" o:spid="_x0000_s1026" style="position:absolute;margin-left:.95pt;margin-top:145.25pt;width:429pt;height:1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" filled="f" strokecolor="red" strokeweight="3pt">
                <w10:wrap anchorx="margin"/>
              </v:rect>
            </w:pict>
          </mc:Fallback>
        </mc:AlternateContent>
      </w:r>
      <w:r>
        <w:rPr>
          <w:noProof/>
          <w:lang w:val="es-MX" w:eastAsia="es-MX"/>
        </w:rPr>
        <w:drawing>
          <wp:inline distT="0" distB="0" distL="0" distR="0" wp14:anchorId="3728B82B" wp14:editId="1B2DBE38">
            <wp:extent cx="5470090"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87" t="7443" r="6314" b="4446"/>
                    <a:stretch/>
                  </pic:blipFill>
                  <pic:spPr bwMode="auto">
                    <a:xfrm>
                      <a:off x="0" y="0"/>
                      <a:ext cx="5473089" cy="3030611"/>
                    </a:xfrm>
                    <a:prstGeom prst="rect">
                      <a:avLst/>
                    </a:prstGeom>
                    <a:ln>
                      <a:noFill/>
                    </a:ln>
                    <a:extLst>
                      <a:ext uri="{53640926-AAD7-44D8-BBD7-CCE9431645EC}">
                        <a14:shadowObscured xmlns:a14="http://schemas.microsoft.com/office/drawing/2010/main"/>
                      </a:ext>
                    </a:extLst>
                  </pic:spPr>
                </pic:pic>
              </a:graphicData>
            </a:graphic>
          </wp:inline>
        </w:drawing>
      </w:r>
    </w:p>
    <w:p w:rsidR="009B135B" w:rsidRDefault="009B135B"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lastRenderedPageBreak/>
        <w:t>De lo anterior, se puede verificar que en efecto Ixtapaluca funge como Distrito electoral local y a su vez el Municipio tuvo candidatura para la presidencia municipal, por lo tanto, se asignó presupuesto para ambos casos.</w:t>
      </w:r>
    </w:p>
    <w:p w:rsidR="00DC6AE8" w:rsidRPr="00381597" w:rsidRDefault="0003045D" w:rsidP="00DC6AE8">
      <w:pPr>
        <w:autoSpaceDE w:val="0"/>
        <w:autoSpaceDN w:val="0"/>
        <w:adjustRightInd w:val="0"/>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Precisado lo anterior</w:t>
      </w:r>
      <w:r w:rsidR="00DC6AE8" w:rsidRPr="00381597">
        <w:rPr>
          <w:rFonts w:ascii="Palatino Linotype" w:hAnsi="Palatino Linotype" w:cs="Arial"/>
          <w:lang w:eastAsia="es-MX"/>
        </w:rPr>
        <w:t xml:space="preserve">, </w:t>
      </w:r>
      <w:r>
        <w:rPr>
          <w:rFonts w:ascii="Palatino Linotype" w:hAnsi="Palatino Linotype" w:cs="Arial"/>
          <w:lang w:eastAsia="es-MX"/>
        </w:rPr>
        <w:t xml:space="preserve">en principio </w:t>
      </w:r>
      <w:r w:rsidR="00DC6AE8" w:rsidRPr="00381597">
        <w:rPr>
          <w:rFonts w:ascii="Palatino Linotype" w:hAnsi="Palatino Linotype" w:cs="Arial"/>
          <w:lang w:eastAsia="es-MX"/>
        </w:rPr>
        <w:t>el Código Electoral del Estado de México en sus artículos 65 y 66, establece las prerrogativas que tienen los partidos políticos, de entre las cuales se encuentra la de gozar de financiamiento público para el sostenimiento de sus actividades permanentes. Así mismo señala la manera en que se fijará anualmente el financiamiento ordinario, la forma de asignación y su distribución, tal y como se muestra a continuación:</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“Artículo 65. Los partidos políticos tendrán las siguientes prerrogativas: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 </w:t>
      </w:r>
      <w:r w:rsidRPr="00381597">
        <w:rPr>
          <w:rFonts w:ascii="Palatino Linotype" w:hAnsi="Palatino Linotype" w:cs="Arial"/>
          <w:i/>
          <w:sz w:val="22"/>
          <w:szCs w:val="22"/>
          <w:u w:val="single"/>
        </w:rPr>
        <w:t>Gozar de financiamiento público para el ejercicio de sus actividades ordinarias</w:t>
      </w:r>
      <w:r w:rsidRPr="00381597">
        <w:rPr>
          <w:rFonts w:ascii="Palatino Linotype" w:hAnsi="Palatino Linotype" w:cs="Arial"/>
          <w:i/>
          <w:sz w:val="22"/>
          <w:szCs w:val="22"/>
        </w:rPr>
        <w:t xml:space="preserve"> y para su participación en las precampañas y campañas electorales de Gobernador, diputados y ayuntamientos del Estado. Tendrán derecho a esta prerrogativa los partidos que obtengan por lo menos el 3% de la votación válida emitida en la última elección de Gobernador o de diputados por el principio de mayoría relativa.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“Artículo 66. </w:t>
      </w:r>
      <w:r w:rsidRPr="00381597">
        <w:rPr>
          <w:rFonts w:ascii="Palatino Linotype" w:hAnsi="Palatino Linotype" w:cs="Arial"/>
          <w:i/>
          <w:sz w:val="22"/>
          <w:szCs w:val="22"/>
          <w:u w:val="single"/>
        </w:rPr>
        <w:t>El financiamiento de los partidos políticos se sujetará a las bases siguientes</w:t>
      </w:r>
      <w:r w:rsidRPr="00381597">
        <w:rPr>
          <w:rFonts w:ascii="Palatino Linotype" w:hAnsi="Palatino Linotype" w:cs="Arial"/>
          <w:i/>
          <w:sz w:val="22"/>
          <w:szCs w:val="22"/>
        </w:rPr>
        <w:t xml:space="preserve">: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 El financiamiento tendrá las siguientes modalidades: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 </w:t>
      </w:r>
      <w:r w:rsidRPr="00381597">
        <w:rPr>
          <w:rFonts w:ascii="Palatino Linotype" w:hAnsi="Palatino Linotype" w:cs="Arial"/>
          <w:i/>
          <w:sz w:val="22"/>
          <w:szCs w:val="22"/>
          <w:u w:val="single"/>
        </w:rPr>
        <w:t>Financiamiento público</w:t>
      </w:r>
      <w:r w:rsidRPr="00381597">
        <w:rPr>
          <w:rFonts w:ascii="Palatino Linotype" w:hAnsi="Palatino Linotype" w:cs="Arial"/>
          <w:i/>
          <w:sz w:val="22"/>
          <w:szCs w:val="22"/>
        </w:rPr>
        <w:t xml:space="preserve">.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b) Financiamiento por la militancia.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c) Financiamiento de simpatizantes.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d) Autofinanciamiento.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lastRenderedPageBreak/>
        <w:t xml:space="preserve">e) Financiamiento por rendimientos financieros.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Los partidos políticos no podrán solicitar créditos provenientes de la banca de desarrollo para el funcionamiento de sus actividades.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II. </w:t>
      </w:r>
      <w:r w:rsidRPr="00381597">
        <w:rPr>
          <w:rFonts w:ascii="Palatino Linotype" w:hAnsi="Palatino Linotype" w:cs="Arial"/>
          <w:i/>
          <w:sz w:val="22"/>
          <w:szCs w:val="22"/>
          <w:u w:val="single"/>
        </w:rPr>
        <w:t>El financiamiento público para el sostenimiento de sus actividades permanentes</w:t>
      </w:r>
      <w:r w:rsidRPr="00381597">
        <w:rPr>
          <w:rFonts w:ascii="Palatino Linotype" w:hAnsi="Palatino Linotype" w:cs="Arial"/>
          <w:i/>
          <w:sz w:val="22"/>
          <w:szCs w:val="22"/>
        </w:rPr>
        <w:t>, para la obtención del voto, para la realización de procesos internos de selección de candidatos y para actividades específicas, se entregará a las direcciones estatales de los partidos, legalmente registradas ante el Instituto, y se fijará en la forma y términos siguientes:</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 </w:t>
      </w:r>
      <w:r w:rsidRPr="00381597">
        <w:rPr>
          <w:rFonts w:ascii="Palatino Linotype" w:hAnsi="Palatino Linotype" w:cs="Arial"/>
          <w:i/>
          <w:sz w:val="22"/>
          <w:szCs w:val="22"/>
          <w:u w:val="single"/>
        </w:rPr>
        <w:t>El financiamiento ordinario se fijará anualmente conforme a los siguientes criterios</w:t>
      </w:r>
      <w:r w:rsidRPr="00381597">
        <w:rPr>
          <w:rFonts w:ascii="Palatino Linotype" w:hAnsi="Palatino Linotype" w:cs="Arial"/>
          <w:i/>
          <w:sz w:val="22"/>
          <w:szCs w:val="22"/>
        </w:rPr>
        <w:t xml:space="preserve">: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b/>
          <w:i/>
          <w:sz w:val="22"/>
          <w:szCs w:val="22"/>
        </w:rPr>
        <w:t>La cantidad base para asignar el</w:t>
      </w:r>
      <w:r w:rsidRPr="00381597">
        <w:rPr>
          <w:rFonts w:ascii="Palatino Linotype" w:hAnsi="Palatino Linotype" w:cs="Arial"/>
          <w:i/>
          <w:sz w:val="22"/>
          <w:szCs w:val="22"/>
        </w:rPr>
        <w:t xml:space="preserve"> </w:t>
      </w:r>
      <w:r w:rsidRPr="00381597">
        <w:rPr>
          <w:rFonts w:ascii="Palatino Linotype" w:hAnsi="Palatino Linotype" w:cs="Arial"/>
          <w:b/>
          <w:i/>
          <w:sz w:val="22"/>
          <w:szCs w:val="22"/>
        </w:rPr>
        <w:t>financiamiento público será la que resulte de multiplicar el 65% del salario mínimo vigente en la capital del Estado, por el número total de ciudadanos inscritos en el padrón electoral de la entidad, con corte a julio del año anterior al que deba realizarse el cálculo correspondiente</w:t>
      </w:r>
      <w:r w:rsidRPr="00381597">
        <w:rPr>
          <w:rFonts w:ascii="Palatino Linotype" w:hAnsi="Palatino Linotype" w:cs="Arial"/>
          <w:i/>
          <w:sz w:val="22"/>
          <w:szCs w:val="22"/>
        </w:rPr>
        <w:t xml:space="preserve">.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La forma de asignar y distribuir la cantidad resultante será la siguiente: </w:t>
      </w:r>
    </w:p>
    <w:p w:rsidR="009622D1"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El 30% de la cantidad resultante se distribuirá de forma paritaria entre los partidos políticos. 2. El restante 70% se distribuirá en forma proporcional directa de la votación válida efectiva de cada partido político en la última elección de diputados locales por el </w:t>
      </w:r>
      <w:r w:rsidR="009622D1">
        <w:rPr>
          <w:rFonts w:ascii="Palatino Linotype" w:hAnsi="Palatino Linotype" w:cs="Arial"/>
          <w:i/>
          <w:sz w:val="22"/>
          <w:szCs w:val="22"/>
        </w:rPr>
        <w:t xml:space="preserve">principio de mayoría relativa. </w:t>
      </w:r>
    </w:p>
    <w:p w:rsidR="00DC6AE8" w:rsidRPr="00381597" w:rsidRDefault="009622D1" w:rsidP="00DC6AE8">
      <w:pPr>
        <w:spacing w:before="100" w:beforeAutospacing="1" w:after="100" w:afterAutospacing="1"/>
        <w:ind w:left="851" w:right="851"/>
        <w:jc w:val="both"/>
        <w:rPr>
          <w:rFonts w:ascii="Palatino Linotype" w:hAnsi="Palatino Linotype" w:cs="Arial"/>
          <w:i/>
          <w:sz w:val="22"/>
          <w:szCs w:val="22"/>
        </w:rPr>
      </w:pPr>
      <w:r w:rsidRPr="009622D1">
        <w:rPr>
          <w:rFonts w:ascii="Palatino Linotype" w:hAnsi="Palatino Linotype" w:cs="Arial"/>
          <w:i/>
          <w:sz w:val="22"/>
          <w:szCs w:val="22"/>
        </w:rPr>
        <w:t>b) El financiamiento para la obtención del voto en campañas electorales será el equivalente al 50% para el caso de la elección de Gobernador y 30% para la elección de diputados e integrantes de los ayuntamientos, del monto del financiamiento que corresponda a cada partido político por actividades ordinarias, durante el año del proceso, el cual deberá aplicarse precisamente al desarrollo de las actividades directamente relacionadas con la obtención del voto en el proceso electoral de que se trate. Las cantidades no ejercidas conforme a lo señalado, deberán reintegrarse a la Secretaría de Finanzas del Gobierno del Estado.</w:t>
      </w:r>
      <w:r w:rsidR="00DC6AE8" w:rsidRPr="00381597">
        <w:rPr>
          <w:rFonts w:ascii="Palatino Linotype" w:hAnsi="Palatino Linotype" w:cs="Arial"/>
          <w:i/>
          <w:sz w:val="22"/>
          <w:szCs w:val="22"/>
        </w:rPr>
        <w:t xml:space="preserve">” </w:t>
      </w:r>
    </w:p>
    <w:p w:rsidR="00DC6AE8" w:rsidRPr="00381597" w:rsidRDefault="00DC6AE8" w:rsidP="00DC6AE8">
      <w:pPr>
        <w:tabs>
          <w:tab w:val="left" w:pos="8789"/>
        </w:tabs>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(Énfasis añadido)</w:t>
      </w:r>
    </w:p>
    <w:p w:rsidR="00DC6AE8" w:rsidRPr="00381597" w:rsidRDefault="00DC6AE8" w:rsidP="00DC6AE8">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lastRenderedPageBreak/>
        <w:t>Por otra parte, en el Reglamento de Fiscalización del Instituto Nacional Electoral se</w:t>
      </w:r>
      <w:r w:rsidRPr="00381597">
        <w:rPr>
          <w:rFonts w:ascii="Palatino Linotype" w:hAnsi="Palatino Linotype" w:cs="Arial"/>
          <w:color w:val="FF0000"/>
          <w:lang w:eastAsia="es-MX"/>
        </w:rPr>
        <w:t xml:space="preserve"> </w:t>
      </w:r>
      <w:r w:rsidRPr="00381597">
        <w:rPr>
          <w:rFonts w:ascii="Palatino Linotype" w:eastAsia="Times New Roman" w:hAnsi="Palatino Linotype"/>
          <w:lang w:eastAsia="es-MX"/>
        </w:rPr>
        <w:t>dispone lo relativo a la información financiera, en la cual se congrega tanto la información presupuestaria como la contable, y que se refiere a las operaciones que realizan los sujetos obligados respecto de los eventos económicos identificables y cuantificables, las cuales se representan por informes, estados financieros y notas que reflejan su situación financiera.</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“Artículo 21. De la información financiera </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La información financiera conjunta la información presupuestaria y contable, expresada en términos monetarios, sobre todas las operaciones que realizan los sujetos obligados respecto de los eventos económicos identificables y cuantificables, la cual se representa por </w:t>
      </w:r>
      <w:r w:rsidRPr="00381597">
        <w:rPr>
          <w:rFonts w:ascii="Palatino Linotype" w:hAnsi="Palatino Linotype" w:cs="Arial"/>
          <w:i/>
          <w:sz w:val="22"/>
          <w:szCs w:val="22"/>
          <w:u w:val="single"/>
        </w:rPr>
        <w:t>informes, estados financieros y sus notas</w:t>
      </w:r>
      <w:r w:rsidRPr="00381597">
        <w:rPr>
          <w:rFonts w:ascii="Palatino Linotype" w:hAnsi="Palatino Linotype" w:cs="Arial"/>
          <w:i/>
          <w:sz w:val="22"/>
          <w:szCs w:val="22"/>
        </w:rPr>
        <w:t>, que expresan la situación financiera, el resultado de sus actividades y los cambios en el flujo de efectivo.”</w:t>
      </w:r>
    </w:p>
    <w:p w:rsidR="00DC6AE8" w:rsidRPr="00381597" w:rsidRDefault="00DC6AE8" w:rsidP="00DC6AE8">
      <w:pPr>
        <w:tabs>
          <w:tab w:val="left" w:pos="8789"/>
        </w:tabs>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(Énfasis añadido)</w:t>
      </w:r>
    </w:p>
    <w:p w:rsidR="00DC6AE8" w:rsidRPr="00381597" w:rsidRDefault="00DC6AE8" w:rsidP="00DC6AE8">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t>Asimismo, el artículo 22 del Reglamento citado, los informes se clasifican en Informes del gasto ordinario, Informes de proceso electoral e Informes presupuestales, estableciéndose lo siguiente:</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“Artículo 22. De los informes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1. Los informes que deben presentar los sujetos obligados son los que establecen la Ley de Partidos y la Ley de Instituciones, y pueden clasificarse de la manera siguiente: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a) Informes del gasto ordinario: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 Informes trimestrales.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II. Informe anual.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lastRenderedPageBreak/>
        <w:t xml:space="preserve">III. Informes mensuales.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b) Informes de proceso electoral: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 Informes de precampaña.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II. Informes de obtención del apoyo ciudadano.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III. Informes de campaña.</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lang w:eastAsia="es-MX"/>
        </w:rPr>
        <w:t xml:space="preserve"> c) </w:t>
      </w:r>
      <w:r w:rsidRPr="00381597">
        <w:rPr>
          <w:rFonts w:ascii="Palatino Linotype" w:eastAsia="Times New Roman" w:hAnsi="Palatino Linotype"/>
          <w:i/>
          <w:sz w:val="22"/>
          <w:u w:val="single"/>
          <w:lang w:eastAsia="es-MX"/>
        </w:rPr>
        <w:t>Informes presupuestales:</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u w:val="single"/>
          <w:lang w:eastAsia="es-MX"/>
        </w:rPr>
        <w:t xml:space="preserve"> I. Programa Anual de Trabajo.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u w:val="single"/>
          <w:lang w:eastAsia="es-MX"/>
        </w:rPr>
      </w:pPr>
      <w:r w:rsidRPr="00381597">
        <w:rPr>
          <w:rFonts w:ascii="Palatino Linotype" w:eastAsia="Times New Roman" w:hAnsi="Palatino Linotype"/>
          <w:i/>
          <w:sz w:val="22"/>
          <w:u w:val="single"/>
          <w:lang w:eastAsia="es-MX"/>
        </w:rPr>
        <w:t xml:space="preserve">II. Informe de Avance Físico-Financiero.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u w:val="single"/>
          <w:lang w:eastAsia="es-MX"/>
        </w:rPr>
        <w:t>III. Informe de Situación Presupuestal.</w:t>
      </w:r>
      <w:r w:rsidRPr="00381597">
        <w:rPr>
          <w:rFonts w:ascii="Palatino Linotype" w:eastAsia="Times New Roman" w:hAnsi="Palatino Linotype"/>
          <w:i/>
          <w:sz w:val="22"/>
          <w:lang w:eastAsia="es-MX"/>
        </w:rPr>
        <w:t xml:space="preserve"> </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 xml:space="preserve">2. </w:t>
      </w:r>
      <w:r w:rsidRPr="00381597">
        <w:rPr>
          <w:rFonts w:ascii="Palatino Linotype" w:eastAsia="Times New Roman" w:hAnsi="Palatino Linotype"/>
          <w:i/>
          <w:sz w:val="22"/>
          <w:u w:val="single"/>
          <w:lang w:eastAsia="es-MX"/>
        </w:rPr>
        <w:t>Los informes presupuestales del inciso c) del numeral 1 del presente artículo, sólo deberán ser preparados por los partidos políticos y estarán a lo dispuesto en los Lineamientos para la Elaboración, Ejecución y Evaluación del Presupuesto de los Partidos Políticos</w:t>
      </w:r>
      <w:r w:rsidRPr="00381597">
        <w:rPr>
          <w:rFonts w:ascii="Palatino Linotype" w:eastAsia="Times New Roman" w:hAnsi="Palatino Linotype"/>
          <w:i/>
          <w:sz w:val="22"/>
          <w:lang w:eastAsia="es-MX"/>
        </w:rPr>
        <w:t>, que emita la Comisión.”</w:t>
      </w:r>
    </w:p>
    <w:p w:rsidR="00DC6AE8" w:rsidRPr="00381597" w:rsidRDefault="00DC6AE8" w:rsidP="00DC6AE8">
      <w:pPr>
        <w:spacing w:before="100" w:beforeAutospacing="1" w:after="100" w:afterAutospacing="1"/>
        <w:ind w:left="851" w:right="851"/>
        <w:jc w:val="both"/>
        <w:rPr>
          <w:rFonts w:ascii="Palatino Linotype" w:eastAsia="Times New Roman" w:hAnsi="Palatino Linotype"/>
          <w:i/>
          <w:sz w:val="22"/>
          <w:lang w:eastAsia="es-MX"/>
        </w:rPr>
      </w:pPr>
      <w:r w:rsidRPr="00381597">
        <w:rPr>
          <w:rFonts w:ascii="Palatino Linotype" w:eastAsia="Times New Roman" w:hAnsi="Palatino Linotype"/>
          <w:i/>
          <w:sz w:val="22"/>
          <w:lang w:eastAsia="es-MX"/>
        </w:rPr>
        <w:t>(Énfasis añadido)</w:t>
      </w:r>
    </w:p>
    <w:p w:rsidR="00DC6AE8" w:rsidRPr="00381597" w:rsidRDefault="00DC6AE8" w:rsidP="00DC6AE8">
      <w:pPr>
        <w:spacing w:line="360" w:lineRule="auto"/>
        <w:jc w:val="both"/>
        <w:rPr>
          <w:rFonts w:ascii="Palatino Linotype" w:eastAsia="Times New Roman" w:hAnsi="Palatino Linotype"/>
          <w:lang w:eastAsia="es-MX"/>
        </w:rPr>
      </w:pPr>
      <w:r w:rsidRPr="00381597">
        <w:rPr>
          <w:rFonts w:ascii="Palatino Linotype" w:eastAsia="Times New Roman" w:hAnsi="Palatino Linotype"/>
          <w:lang w:eastAsia="es-MX"/>
        </w:rPr>
        <w:t>De esa manera el Partido Político deberá preparar los estados financieros respecto de su operación ordinaria y deberán formularse en los términos que establece la NIF B-16 "Estados Financieros de Entidades con Propósitos no Lucrativos" tal y como lo señala el artículo 23 de dicho Reglamento, que a la letra dice:</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“Artículo 23.</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De los Estados Financieros y sus notas</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 xml:space="preserve">1. Los </w:t>
      </w:r>
      <w:r w:rsidRPr="00381597">
        <w:rPr>
          <w:rFonts w:ascii="Palatino Linotype" w:hAnsi="Palatino Linotype" w:cs="Arial"/>
          <w:i/>
          <w:sz w:val="22"/>
          <w:szCs w:val="22"/>
          <w:u w:val="single"/>
        </w:rPr>
        <w:t>estados financieros</w:t>
      </w:r>
      <w:r w:rsidRPr="00381597">
        <w:rPr>
          <w:rFonts w:ascii="Palatino Linotype" w:hAnsi="Palatino Linotype" w:cs="Arial"/>
          <w:i/>
          <w:sz w:val="22"/>
          <w:szCs w:val="22"/>
        </w:rPr>
        <w:t xml:space="preserve"> sólo deben ser preparados por los partidos políticos respecto de su operación ordinaria y </w:t>
      </w:r>
      <w:r w:rsidRPr="00381597">
        <w:rPr>
          <w:rFonts w:ascii="Palatino Linotype" w:hAnsi="Palatino Linotype" w:cs="Arial"/>
          <w:i/>
          <w:sz w:val="22"/>
          <w:szCs w:val="22"/>
          <w:u w:val="single"/>
        </w:rPr>
        <w:t>deberán formularse en los términos que establece la NIF B-16</w:t>
      </w:r>
      <w:r w:rsidRPr="00381597">
        <w:rPr>
          <w:rFonts w:ascii="Palatino Linotype" w:hAnsi="Palatino Linotype" w:cs="Arial"/>
          <w:i/>
          <w:sz w:val="22"/>
          <w:szCs w:val="22"/>
        </w:rPr>
        <w:t> "Estados Financieros de Entidades con Propósitos no Lucrativos" y son:</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lastRenderedPageBreak/>
        <w:t>a)   Estado de Posición Financiera.</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b)   Estado de Actividades.</w:t>
      </w:r>
    </w:p>
    <w:p w:rsidR="00DC6AE8" w:rsidRPr="00381597" w:rsidRDefault="00DC6AE8" w:rsidP="00DC6AE8">
      <w:pPr>
        <w:spacing w:before="100" w:beforeAutospacing="1" w:after="100" w:afterAutospacing="1"/>
        <w:ind w:left="851" w:right="851"/>
        <w:jc w:val="both"/>
        <w:rPr>
          <w:rFonts w:ascii="Palatino Linotype" w:hAnsi="Palatino Linotype" w:cs="Arial"/>
          <w:i/>
          <w:sz w:val="22"/>
          <w:szCs w:val="22"/>
        </w:rPr>
      </w:pPr>
      <w:r w:rsidRPr="00381597">
        <w:rPr>
          <w:rFonts w:ascii="Palatino Linotype" w:hAnsi="Palatino Linotype" w:cs="Arial"/>
          <w:i/>
          <w:sz w:val="22"/>
          <w:szCs w:val="22"/>
        </w:rPr>
        <w:t>c)   Estado de Flujos de Efectivo.”</w:t>
      </w:r>
    </w:p>
    <w:p w:rsidR="00DC6AE8" w:rsidRPr="00381597" w:rsidRDefault="00DC6AE8" w:rsidP="00DC6AE8">
      <w:pPr>
        <w:spacing w:line="360" w:lineRule="auto"/>
        <w:jc w:val="both"/>
      </w:pPr>
    </w:p>
    <w:p w:rsidR="00DC6AE8" w:rsidRPr="00381597" w:rsidRDefault="00DC6AE8" w:rsidP="00DC6AE8">
      <w:pPr>
        <w:autoSpaceDE w:val="0"/>
        <w:autoSpaceDN w:val="0"/>
        <w:adjustRightInd w:val="0"/>
        <w:spacing w:line="360" w:lineRule="auto"/>
        <w:jc w:val="both"/>
        <w:rPr>
          <w:rFonts w:ascii="Palatino Linotype" w:hAnsi="Palatino Linotype" w:cs="Arial"/>
          <w:lang w:eastAsia="es-MX"/>
        </w:rPr>
      </w:pPr>
      <w:r w:rsidRPr="00381597">
        <w:rPr>
          <w:rFonts w:ascii="Palatino Linotype" w:hAnsi="Palatino Linotype" w:cs="Arial"/>
          <w:lang w:eastAsia="es-MX"/>
        </w:rPr>
        <w:t>En ese sentido la Ley de Transparencia y Acceso a la Información Pública del Estado de México y Municipios, señala dentro de las obligaciones de transparencia comunes, la información financiera sobre el presupuesto asignado, tal y como se cita a continuación:</w:t>
      </w:r>
    </w:p>
    <w:p w:rsidR="00DC6AE8" w:rsidRPr="00381597" w:rsidRDefault="00DC6AE8" w:rsidP="00DC6AE8">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C6AE8" w:rsidRPr="00381597" w:rsidRDefault="00DC6AE8" w:rsidP="00DC6AE8">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w:t>
      </w:r>
    </w:p>
    <w:p w:rsidR="00DC6AE8" w:rsidRPr="00381597" w:rsidRDefault="00DC6AE8" w:rsidP="00DC6AE8">
      <w:pPr>
        <w:autoSpaceDE w:val="0"/>
        <w:autoSpaceDN w:val="0"/>
        <w:adjustRightInd w:val="0"/>
        <w:spacing w:before="100" w:beforeAutospacing="1" w:after="100" w:afterAutospacing="1"/>
        <w:ind w:left="851" w:right="851"/>
        <w:jc w:val="both"/>
        <w:rPr>
          <w:rFonts w:ascii="Palatino Linotype" w:hAnsi="Palatino Linotype" w:cs="Arial"/>
          <w:i/>
          <w:sz w:val="22"/>
          <w:lang w:eastAsia="es-MX"/>
        </w:rPr>
      </w:pPr>
      <w:r w:rsidRPr="00381597">
        <w:rPr>
          <w:rFonts w:ascii="Palatino Linotype" w:hAnsi="Palatino Linotype" w:cs="Arial"/>
          <w:i/>
          <w:sz w:val="22"/>
          <w:lang w:eastAsia="es-MX"/>
        </w:rPr>
        <w:t xml:space="preserve">XXV. </w:t>
      </w:r>
      <w:r w:rsidRPr="00381597">
        <w:rPr>
          <w:rFonts w:ascii="Palatino Linotype" w:hAnsi="Palatino Linotype" w:cs="Arial"/>
          <w:i/>
          <w:sz w:val="22"/>
          <w:u w:val="single"/>
          <w:lang w:eastAsia="es-MX"/>
        </w:rPr>
        <w:t>La información financiera sobre el presupuesto asignado</w:t>
      </w:r>
      <w:r w:rsidRPr="00381597">
        <w:rPr>
          <w:rFonts w:ascii="Palatino Linotype" w:hAnsi="Palatino Linotype" w:cs="Arial"/>
          <w:i/>
          <w:sz w:val="22"/>
          <w:lang w:eastAsia="es-MX"/>
        </w:rPr>
        <w:t>, así como los informes del ejercicio trimestral del gasto, en términos de la Ley General de Contabilidad Gubernamental y demás disposiciones jurídicas aplicables; (…)”</w:t>
      </w:r>
    </w:p>
    <w:p w:rsidR="00DC6AE8" w:rsidRPr="00381597" w:rsidRDefault="00DC6AE8" w:rsidP="00DC6AE8">
      <w:pPr>
        <w:pStyle w:val="Sinespaciado"/>
        <w:spacing w:before="100" w:beforeAutospacing="1" w:after="100" w:afterAutospacing="1" w:line="360" w:lineRule="auto"/>
        <w:jc w:val="both"/>
        <w:rPr>
          <w:rFonts w:ascii="Palatino Linotype" w:hAnsi="Palatino Linotype"/>
        </w:rPr>
      </w:pPr>
      <w:r w:rsidRPr="00381597">
        <w:rPr>
          <w:rFonts w:ascii="Palatino Linotype" w:hAnsi="Palatino Linotype"/>
        </w:rPr>
        <w:t>En adición a lo anterior, las misma ley citada establece las obligaciones de trasparencia específicas para los partidos políticos entre las cuales se encuentran, los montos de financiamiento público y los estados de situación financiera, obligaciones que se encuentran establecidas en las fracciones XXIV y XXV del artículo 100 de la Ley de la materia que se leen de la siguiente manera:</w:t>
      </w:r>
    </w:p>
    <w:p w:rsidR="00DC6AE8" w:rsidRPr="00381597" w:rsidRDefault="00DC6AE8" w:rsidP="00DC6AE8">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t xml:space="preserve">“Artículo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w:t>
      </w:r>
      <w:r w:rsidRPr="00381597">
        <w:rPr>
          <w:rFonts w:ascii="Palatino Linotype" w:hAnsi="Palatino Linotype"/>
          <w:i/>
          <w:sz w:val="22"/>
          <w:lang w:val="es-ES"/>
        </w:rPr>
        <w:lastRenderedPageBreak/>
        <w:t>pretendan postular su candidatura independiente, según corresponda, deberán poner a disposición del público y actualizar la siguiente información:</w:t>
      </w:r>
    </w:p>
    <w:p w:rsidR="00DC6AE8" w:rsidRPr="00381597" w:rsidRDefault="00DC6AE8" w:rsidP="00DC6AE8">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t>(…)</w:t>
      </w:r>
    </w:p>
    <w:p w:rsidR="00DC6AE8" w:rsidRPr="00381597" w:rsidRDefault="00DC6AE8" w:rsidP="00DC6AE8">
      <w:pPr>
        <w:pStyle w:val="Sinespaciado"/>
        <w:spacing w:before="100" w:beforeAutospacing="1" w:after="100" w:afterAutospacing="1"/>
        <w:ind w:left="851" w:right="851"/>
        <w:jc w:val="both"/>
        <w:rPr>
          <w:rFonts w:ascii="Palatino Linotype" w:hAnsi="Palatino Linotype"/>
          <w:i/>
          <w:sz w:val="22"/>
          <w:lang w:val="es-ES"/>
        </w:rPr>
      </w:pPr>
      <w:r w:rsidRPr="00381597">
        <w:rPr>
          <w:rFonts w:ascii="Palatino Linotype" w:hAnsi="Palatino Linotype"/>
          <w:i/>
          <w:sz w:val="22"/>
          <w:lang w:val="es-ES"/>
        </w:rPr>
        <w:t xml:space="preserve">XXIV. Los montos de financiamiento público otorgados mensualmente, en cualquier modalidad, a sus órganos estatales y municipales, así como los descuentos correspondientes a sanciones; </w:t>
      </w:r>
    </w:p>
    <w:p w:rsidR="00DC6AE8" w:rsidRPr="00381597" w:rsidRDefault="00DC6AE8" w:rsidP="00DC6AE8">
      <w:pPr>
        <w:pStyle w:val="Sinespaciado"/>
        <w:spacing w:before="100" w:beforeAutospacing="1" w:after="100" w:afterAutospacing="1"/>
        <w:ind w:left="851" w:right="851"/>
        <w:jc w:val="both"/>
        <w:rPr>
          <w:rFonts w:ascii="Palatino Linotype" w:hAnsi="Palatino Linotype"/>
          <w:i/>
          <w:sz w:val="22"/>
        </w:rPr>
      </w:pPr>
      <w:r w:rsidRPr="00381597">
        <w:rPr>
          <w:rFonts w:ascii="Palatino Linotype" w:hAnsi="Palatino Linotype"/>
          <w:i/>
          <w:sz w:val="22"/>
          <w:lang w:val="es-ES"/>
        </w:rPr>
        <w:t>XXV. El estado de situación financiera y patrimonial; el inventario de los bienes inmuebles de los que sean propietarios, así como los anexos que formen parte integrante de los documentos anteriores; (…)”</w:t>
      </w:r>
    </w:p>
    <w:p w:rsidR="00DC6AE8" w:rsidRDefault="00DC6AE8" w:rsidP="00DC6AE8">
      <w:pPr>
        <w:pStyle w:val="Sinespaciado"/>
        <w:spacing w:before="100" w:beforeAutospacing="1" w:after="100" w:afterAutospacing="1" w:line="360" w:lineRule="auto"/>
        <w:jc w:val="both"/>
        <w:rPr>
          <w:rFonts w:ascii="Palatino Linotype" w:hAnsi="Palatino Linotype"/>
        </w:rPr>
      </w:pPr>
      <w:r w:rsidRPr="000F758B">
        <w:rPr>
          <w:rFonts w:ascii="Palatino Linotype" w:hAnsi="Palatino Linotype"/>
        </w:rPr>
        <w:t>De esa manera, se vislumbra la obligación del Sujeto Obligado, de tener a disposición del público, la información relacionada c</w:t>
      </w:r>
      <w:r>
        <w:rPr>
          <w:rFonts w:ascii="Palatino Linotype" w:hAnsi="Palatino Linotype"/>
        </w:rPr>
        <w:t>on la asignación</w:t>
      </w:r>
      <w:r w:rsidRPr="000F758B">
        <w:rPr>
          <w:rFonts w:ascii="Palatino Linotype" w:hAnsi="Palatino Linotype"/>
        </w:rPr>
        <w:t xml:space="preserve"> de recursos financieros para las campañas de los candidatos a ocupar puestos de elección popular.</w:t>
      </w:r>
    </w:p>
    <w:p w:rsidR="0003045D" w:rsidRPr="0003045D" w:rsidRDefault="00DC6AE8" w:rsidP="0003045D">
      <w:pPr>
        <w:pStyle w:val="Sinespaciado"/>
        <w:spacing w:before="100" w:beforeAutospacing="1" w:after="100" w:afterAutospacing="1" w:line="360" w:lineRule="auto"/>
        <w:jc w:val="both"/>
        <w:rPr>
          <w:rFonts w:ascii="Palatino Linotype" w:hAnsi="Palatino Linotype"/>
        </w:rPr>
      </w:pPr>
      <w:r>
        <w:rPr>
          <w:rFonts w:ascii="Palatino Linotype" w:hAnsi="Palatino Linotype"/>
        </w:rPr>
        <w:t xml:space="preserve">En ese mismo sentido, </w:t>
      </w:r>
      <w:r w:rsidR="0003045D">
        <w:rPr>
          <w:rFonts w:ascii="Palatino Linotype" w:hAnsi="Palatino Linotype"/>
        </w:rPr>
        <w:t xml:space="preserve">no pasa desapercibido para este Instituto </w:t>
      </w:r>
      <w:r w:rsidR="0003045D" w:rsidRPr="0003045D">
        <w:rPr>
          <w:rFonts w:ascii="Palatino Linotype" w:hAnsi="Palatino Linotype"/>
        </w:rPr>
        <w:t>que mediante el artículo 35 de la Ley General de Partidos Políticos se dota al Sujeto Obligado</w:t>
      </w:r>
      <w:r w:rsidR="0003045D" w:rsidRPr="0003045D">
        <w:rPr>
          <w:rFonts w:ascii="Palatino Linotype" w:hAnsi="Palatino Linotype"/>
          <w:b/>
        </w:rPr>
        <w:t xml:space="preserve"> </w:t>
      </w:r>
      <w:r w:rsidR="0003045D" w:rsidRPr="0003045D">
        <w:rPr>
          <w:rFonts w:ascii="Palatino Linotype" w:hAnsi="Palatino Linotype"/>
        </w:rPr>
        <w:t xml:space="preserve"> de facultades para expedir sus propios estatutos. En este tenor, resultan de interés los artículos 12 Bis, 32 inciso c)</w:t>
      </w:r>
      <w:r w:rsidR="0003045D" w:rsidRPr="0003045D">
        <w:rPr>
          <w:rFonts w:ascii="Palatino Linotype" w:hAnsi="Palatino Linotype"/>
          <w:b/>
        </w:rPr>
        <w:t xml:space="preserve"> </w:t>
      </w:r>
      <w:r w:rsidR="0003045D" w:rsidRPr="0003045D">
        <w:rPr>
          <w:rFonts w:ascii="Palatino Linotype" w:hAnsi="Palatino Linotype"/>
        </w:rPr>
        <w:t>y 38 inciso d) de los estatutos del Sujeto Obligado</w:t>
      </w:r>
      <w:r w:rsidR="0003045D" w:rsidRPr="0003045D">
        <w:rPr>
          <w:rFonts w:ascii="Palatino Linotype" w:hAnsi="Palatino Linotype"/>
          <w:b/>
        </w:rPr>
        <w:t xml:space="preserve"> </w:t>
      </w:r>
      <w:r w:rsidR="0003045D" w:rsidRPr="0003045D">
        <w:rPr>
          <w:rFonts w:ascii="Palatino Linotype" w:hAnsi="Palatino Linotype"/>
        </w:rPr>
        <w:t>los cuales señalan a la literalidad:</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imes New Roman" w:hAnsi="Palatino Linotype" w:cs="Arial"/>
          <w:i/>
          <w:sz w:val="22"/>
          <w:szCs w:val="22"/>
        </w:rPr>
      </w:pPr>
      <w:r w:rsidRPr="0003045D">
        <w:rPr>
          <w:rFonts w:ascii="Palatino Linotype" w:eastAsia="Times New Roman" w:hAnsi="Palatino Linotype"/>
          <w:i/>
          <w:sz w:val="22"/>
          <w:szCs w:val="22"/>
        </w:rPr>
        <w:t>“Artículo 12º Bis. MORENA accederá a las prerrogativas y financiamiento público en los términos del artículo 41 de la Constitución y de las leyes generales, federales y locales aplicables.”</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 xml:space="preserve">“Artículo 32°. El Comité Ejecutivo Estatal conducirá a MORENA en la entidad federativa entre sesiones del Consejo Estatal. Durará en su encargo tres años. Será responsable de determinar fecha, hora y lugar en las convocatorias para la realización de congresos distritales y municipales, emitidas por el Comité Ejecutivo Nacional; así como de llevar a cabo los planes de acción acordados por el Consejo Estatal, el Consejo Nacional y el Congreso Nacional. </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lastRenderedPageBreak/>
        <w:t>Se reunirá de manera ordinaria una vez por semana, y de manera extraordinaria, cuando lo solicite la tercera parte de los/ las consejeros/as estatales. Se instalará y sesionará con la presencia de la mitad más uno de sus integrantes. Estará conformado por un mínimo de seis personas, cuyos cargos y funciones serán los siguientes:</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c. Secretario/a de Finanzas, quien se encargará de procurar, recibir y administrar las aportaciones de las y los Protagonistas del cambio verdadero y de las y los ciudadanos para garantizar el funcionamiento de nuestro partido en el estado; informará de su cabal administración ante el Consejo Estatal, la Secretaría de Finanzas del Comité Ejecutivo Nacional y, en su caso, ante la autoridad electoral competente; (…)”</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 xml:space="preserve">“Artículo 38°. El Comité Ejecutivo Nacional conducirá a nuestro partido en el país entre sesiones del Consejo Nacional (…) </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Estará conformado por veintiún personas, cuyos cargos y funciones serán los siguientes:</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w:t>
      </w:r>
    </w:p>
    <w:p w:rsidR="0003045D" w:rsidRPr="0003045D" w:rsidRDefault="0003045D" w:rsidP="0003045D">
      <w:pPr>
        <w:autoSpaceDE w:val="0"/>
        <w:autoSpaceDN w:val="0"/>
        <w:adjustRightInd w:val="0"/>
        <w:spacing w:before="100" w:beforeAutospacing="1" w:after="100" w:afterAutospacing="1"/>
        <w:ind w:left="851" w:right="851"/>
        <w:jc w:val="both"/>
        <w:rPr>
          <w:rFonts w:ascii="Palatino Linotype" w:eastAsiaTheme="minorHAnsi" w:hAnsi="Palatino Linotype" w:cstheme="minorBidi"/>
          <w:i/>
          <w:sz w:val="22"/>
          <w:szCs w:val="22"/>
          <w:lang w:val="es-MX" w:eastAsia="en-US"/>
        </w:rPr>
      </w:pPr>
      <w:r w:rsidRPr="0003045D">
        <w:rPr>
          <w:rFonts w:ascii="Palatino Linotype" w:eastAsiaTheme="minorHAnsi" w:hAnsi="Palatino Linotype" w:cstheme="minorBidi"/>
          <w:i/>
          <w:sz w:val="22"/>
          <w:szCs w:val="22"/>
          <w:lang w:val="es-MX" w:eastAsia="en-US"/>
        </w:rPr>
        <w:t>d. Secretario/a de Finanzas, quien deberá procurar y administrar los recursos financieros aportados por ciudadanas y ciudadanos y Protagonistas del cambio verdadero; además será responsable de la administración del patrimonio de MORENA y de la presentación de los informes de ingresos y egresos, de precampaña y campaña a que se refiere la legislación electoral. Éste será el órgano responsable que establece el artículo 43, numeral 1, inciso c) de la Ley General de Partidos Políticos” (Sic)</w:t>
      </w:r>
    </w:p>
    <w:p w:rsidR="0003045D" w:rsidRPr="0003045D" w:rsidRDefault="0003045D" w:rsidP="0003045D">
      <w:pPr>
        <w:autoSpaceDE w:val="0"/>
        <w:autoSpaceDN w:val="0"/>
        <w:adjustRightInd w:val="0"/>
        <w:spacing w:before="100" w:beforeAutospacing="1" w:after="100" w:afterAutospacing="1" w:line="360" w:lineRule="auto"/>
        <w:jc w:val="both"/>
        <w:rPr>
          <w:rFonts w:ascii="Palatino Linotype" w:eastAsiaTheme="minorHAnsi" w:hAnsi="Palatino Linotype" w:cstheme="minorBidi"/>
          <w:szCs w:val="22"/>
          <w:lang w:val="es-MX" w:eastAsia="en-US"/>
        </w:rPr>
      </w:pPr>
      <w:r>
        <w:rPr>
          <w:rFonts w:ascii="Palatino Linotype" w:eastAsiaTheme="minorHAnsi" w:hAnsi="Palatino Linotype" w:cstheme="minorBidi"/>
          <w:szCs w:val="22"/>
          <w:lang w:val="es-MX" w:eastAsia="en-US"/>
        </w:rPr>
        <w:t>De los preceptos anteriores se desprende que:</w:t>
      </w:r>
    </w:p>
    <w:p w:rsidR="0003045D" w:rsidRPr="00E654D8" w:rsidRDefault="0003045D" w:rsidP="00E654D8">
      <w:pPr>
        <w:pStyle w:val="Prrafodelista"/>
        <w:numPr>
          <w:ilvl w:val="0"/>
          <w:numId w:val="6"/>
        </w:numPr>
        <w:autoSpaceDE w:val="0"/>
        <w:autoSpaceDN w:val="0"/>
        <w:adjustRightInd w:val="0"/>
        <w:spacing w:before="100" w:beforeAutospacing="1" w:after="100" w:afterAutospacing="1" w:line="360" w:lineRule="auto"/>
        <w:jc w:val="both"/>
        <w:rPr>
          <w:rFonts w:ascii="Palatino Linotype" w:eastAsiaTheme="minorHAnsi" w:hAnsi="Palatino Linotype" w:cstheme="minorBidi"/>
          <w:sz w:val="22"/>
          <w:szCs w:val="22"/>
          <w:lang w:val="es-MX" w:eastAsia="en-US"/>
        </w:rPr>
      </w:pPr>
      <w:r w:rsidRPr="00E654D8">
        <w:rPr>
          <w:rFonts w:ascii="Palatino Linotype" w:eastAsiaTheme="minorHAnsi" w:hAnsi="Palatino Linotype" w:cs="Arial"/>
          <w:lang w:val="es-MX" w:eastAsia="en-US"/>
        </w:rPr>
        <w:t>Dentro de la estructura organizacional del Partido Morena</w:t>
      </w:r>
      <w:r w:rsidRPr="00E654D8">
        <w:rPr>
          <w:rFonts w:ascii="Palatino Linotype" w:eastAsiaTheme="minorHAnsi" w:hAnsi="Palatino Linotype" w:cs="Arial"/>
          <w:b/>
          <w:lang w:val="es-MX" w:eastAsia="en-US"/>
        </w:rPr>
        <w:t xml:space="preserve"> </w:t>
      </w:r>
      <w:r w:rsidRPr="00E654D8">
        <w:rPr>
          <w:rFonts w:ascii="Palatino Linotype" w:eastAsiaTheme="minorHAnsi" w:hAnsi="Palatino Linotype" w:cs="Arial"/>
          <w:lang w:val="es-MX" w:eastAsia="en-US"/>
        </w:rPr>
        <w:t xml:space="preserve">existe un comité nacional, comités estatales, así como otras unidades administrativas. </w:t>
      </w:r>
    </w:p>
    <w:p w:rsidR="0003045D" w:rsidRPr="00E654D8" w:rsidRDefault="0003045D" w:rsidP="00E654D8">
      <w:pPr>
        <w:pStyle w:val="Prrafodelista"/>
        <w:numPr>
          <w:ilvl w:val="0"/>
          <w:numId w:val="6"/>
        </w:numPr>
        <w:autoSpaceDE w:val="0"/>
        <w:autoSpaceDN w:val="0"/>
        <w:adjustRightInd w:val="0"/>
        <w:spacing w:before="100" w:beforeAutospacing="1" w:after="100" w:afterAutospacing="1" w:line="360" w:lineRule="auto"/>
        <w:jc w:val="both"/>
        <w:rPr>
          <w:rFonts w:ascii="Palatino Linotype" w:eastAsiaTheme="minorHAnsi" w:hAnsi="Palatino Linotype" w:cs="Arial"/>
          <w:lang w:val="es-MX" w:eastAsia="en-US"/>
        </w:rPr>
      </w:pPr>
      <w:r w:rsidRPr="00E654D8">
        <w:rPr>
          <w:rFonts w:ascii="Palatino Linotype" w:eastAsiaTheme="minorHAnsi" w:hAnsi="Palatino Linotype" w:cs="Arial"/>
          <w:lang w:val="es-MX" w:eastAsia="en-US"/>
        </w:rPr>
        <w:lastRenderedPageBreak/>
        <w:t xml:space="preserve">Adicionalmente, el Comité Nacional así como los comités estatales cuentan con un Secretario de Finanzas cuya actuación se encuentra encauzada a procurar, recibir y administrar los recursos. </w:t>
      </w:r>
    </w:p>
    <w:p w:rsidR="0003045D" w:rsidRPr="00E654D8" w:rsidRDefault="0003045D" w:rsidP="00E654D8">
      <w:pPr>
        <w:pStyle w:val="Prrafodelista"/>
        <w:numPr>
          <w:ilvl w:val="0"/>
          <w:numId w:val="6"/>
        </w:numPr>
        <w:autoSpaceDE w:val="0"/>
        <w:autoSpaceDN w:val="0"/>
        <w:adjustRightInd w:val="0"/>
        <w:spacing w:before="100" w:beforeAutospacing="1" w:after="100" w:afterAutospacing="1" w:line="360" w:lineRule="auto"/>
        <w:jc w:val="both"/>
        <w:rPr>
          <w:rFonts w:ascii="Palatino Linotype" w:eastAsiaTheme="minorHAnsi" w:hAnsi="Palatino Linotype" w:cs="Arial"/>
          <w:lang w:val="es-MX" w:eastAsia="en-US"/>
        </w:rPr>
      </w:pPr>
      <w:r w:rsidRPr="00E654D8">
        <w:rPr>
          <w:rFonts w:ascii="Palatino Linotype" w:eastAsiaTheme="minorHAnsi" w:hAnsi="Palatino Linotype" w:cs="Arial"/>
          <w:lang w:val="es-MX" w:eastAsia="en-US"/>
        </w:rPr>
        <w:t>El Secretario de Finanzas funge como el enlace que informa a las autoridades electorales competentes sobre la erogación de recursos, englobando lo relativo a los ingresos y egresos.</w:t>
      </w:r>
    </w:p>
    <w:p w:rsidR="0003045D" w:rsidRDefault="00E654D8" w:rsidP="00E654D8">
      <w:pPr>
        <w:pStyle w:val="Sinespaciado"/>
        <w:numPr>
          <w:ilvl w:val="0"/>
          <w:numId w:val="6"/>
        </w:numPr>
        <w:spacing w:before="100" w:beforeAutospacing="1" w:after="100" w:afterAutospacing="1" w:line="360" w:lineRule="auto"/>
        <w:jc w:val="both"/>
        <w:rPr>
          <w:rFonts w:ascii="Palatino Linotype" w:hAnsi="Palatino Linotype"/>
        </w:rPr>
      </w:pPr>
      <w:r>
        <w:rPr>
          <w:rFonts w:ascii="Palatino Linotype" w:hAnsi="Palatino Linotype"/>
        </w:rPr>
        <w:t>Derivado de las facultades del Sujeto Obligado y de sus funciones internas, cuenta con la información solicitada por la parte recurrente.</w:t>
      </w:r>
    </w:p>
    <w:p w:rsidR="00E654D8" w:rsidRPr="00C12769" w:rsidRDefault="00E654D8" w:rsidP="00E654D8">
      <w:pPr>
        <w:pStyle w:val="Prrafodelista"/>
        <w:numPr>
          <w:ilvl w:val="0"/>
          <w:numId w:val="4"/>
        </w:num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la evidencia y los argumentos antes mencionados, es procedente ordenar la entrega del documento o documentos donde conste el presupuesto asignado </w:t>
      </w:r>
      <w:r w:rsidR="009622D1">
        <w:rPr>
          <w:rFonts w:ascii="Palatino Linotype" w:hAnsi="Palatino Linotype" w:cs="Arial"/>
          <w:color w:val="000000" w:themeColor="text1"/>
        </w:rPr>
        <w:t>a los candidatos del</w:t>
      </w:r>
      <w:r>
        <w:rPr>
          <w:rFonts w:ascii="Palatino Linotype" w:hAnsi="Palatino Linotype" w:cs="Arial"/>
          <w:color w:val="000000" w:themeColor="text1"/>
        </w:rPr>
        <w:t xml:space="preserve"> Sujeto Obligado en Ixtapaluca, para el proceso electoral 2017-2018, al mayor grado de detalle posible.</w:t>
      </w:r>
    </w:p>
    <w:p w:rsidR="00E654D8" w:rsidRDefault="00E654D8" w:rsidP="00DC6AE8">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Como se vio anteriormente, el Sujeto Obligado tiene estructura nacional, estatal y municipal, por tal motivo en lo que respecta a la información relativa en el ámbito estatal y municipal el Partido local es competente, no así en lo relativo a lo federal, ya que el Sujeto Obligado </w:t>
      </w:r>
      <w:r w:rsidR="00154B81">
        <w:rPr>
          <w:rFonts w:ascii="Palatino Linotype" w:hAnsi="Palatino Linotype" w:cs="Arial"/>
          <w:color w:val="000000" w:themeColor="text1"/>
        </w:rPr>
        <w:t>competente</w:t>
      </w:r>
      <w:r>
        <w:rPr>
          <w:rFonts w:ascii="Palatino Linotype" w:hAnsi="Palatino Linotype" w:cs="Arial"/>
          <w:color w:val="000000" w:themeColor="text1"/>
        </w:rPr>
        <w:t xml:space="preserve"> seria el Partido Nacional, por lo cual se le dejan a salvo sus derechos a la parte recurrente para que de considerarlo pertinente realice una nueva solicitud de informaci</w:t>
      </w:r>
      <w:r w:rsidR="00154B81">
        <w:rPr>
          <w:rFonts w:ascii="Palatino Linotype" w:hAnsi="Palatino Linotype" w:cs="Arial"/>
          <w:color w:val="000000" w:themeColor="text1"/>
        </w:rPr>
        <w:t>ón al Sujeto Obligado correspondiente</w:t>
      </w:r>
      <w:r>
        <w:rPr>
          <w:rFonts w:ascii="Palatino Linotype" w:hAnsi="Palatino Linotype" w:cs="Arial"/>
          <w:color w:val="000000" w:themeColor="text1"/>
        </w:rPr>
        <w:t>.</w:t>
      </w:r>
    </w:p>
    <w:p w:rsidR="00DC6AE8" w:rsidRPr="003125F4" w:rsidRDefault="00DC6AE8" w:rsidP="00DC6AE8">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De manera general</w:t>
      </w:r>
      <w:r w:rsidRPr="003125F4">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Pr="003125F4">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w:t>
      </w:r>
      <w:r w:rsidRPr="003125F4">
        <w:rPr>
          <w:rFonts w:ascii="Palatino Linotype" w:hAnsi="Palatino Linotype" w:cs="Arial"/>
        </w:rPr>
        <w:lastRenderedPageBreak/>
        <w:t>otro registro que documente el ejercicio de las facultades, funciones y competencias de los Sujetos Obligados</w:t>
      </w:r>
      <w:r w:rsidRPr="003125F4">
        <w:rPr>
          <w:rFonts w:ascii="Palatino Linotype" w:hAnsi="Palatino Linotype" w:cs="Arial"/>
          <w:color w:val="000000" w:themeColor="text1"/>
        </w:rPr>
        <w:t xml:space="preserve">; los que, </w:t>
      </w:r>
      <w:r w:rsidRPr="003125F4">
        <w:rPr>
          <w:rFonts w:ascii="Palatino Linotype" w:hAnsi="Palatino Linotype" w:cs="Arial"/>
        </w:rPr>
        <w:t>podrán estar en cualquier medio, sea escrito, impreso, sonoro, visual, electrónico, informático u holográfico</w:t>
      </w:r>
      <w:r w:rsidRPr="003125F4">
        <w:rPr>
          <w:rFonts w:ascii="Palatino Linotype" w:hAnsi="Palatino Linotype" w:cs="Arial"/>
          <w:color w:val="000000" w:themeColor="text1"/>
        </w:rPr>
        <w:t xml:space="preserve">, de conformidad con el artículo 3, fracción XI de la Ley de la materia, el cual dispone lo siguiente: </w:t>
      </w:r>
    </w:p>
    <w:p w:rsidR="00DC6AE8" w:rsidRPr="003125F4" w:rsidRDefault="00DC6AE8" w:rsidP="00DC6AE8">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“Artículo 3. Para los efectos de la presente Ley se entenderá por:</w:t>
      </w:r>
    </w:p>
    <w:p w:rsidR="00DC6AE8" w:rsidRPr="003125F4" w:rsidRDefault="00DC6AE8" w:rsidP="00DC6AE8">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w:t>
      </w:r>
    </w:p>
    <w:p w:rsidR="00DC6AE8" w:rsidRPr="003125F4" w:rsidRDefault="00DC6AE8" w:rsidP="00DC6AE8">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C6AE8" w:rsidRPr="003125F4" w:rsidRDefault="00DC6AE8" w:rsidP="00DC6AE8">
      <w:pPr>
        <w:spacing w:before="100" w:beforeAutospacing="1" w:after="100" w:afterAutospacing="1"/>
        <w:ind w:left="851" w:right="851"/>
        <w:jc w:val="both"/>
        <w:rPr>
          <w:rFonts w:ascii="Palatino Linotype" w:hAnsi="Palatino Linotype" w:cs="Arial"/>
          <w:i/>
          <w:color w:val="000000"/>
          <w:sz w:val="22"/>
          <w:szCs w:val="22"/>
        </w:rPr>
      </w:pPr>
      <w:r w:rsidRPr="003125F4">
        <w:rPr>
          <w:rFonts w:ascii="Palatino Linotype" w:hAnsi="Palatino Linotype" w:cs="Arial"/>
          <w:i/>
          <w:color w:val="000000"/>
          <w:sz w:val="22"/>
          <w:szCs w:val="22"/>
        </w:rPr>
        <w:t>(…)”</w:t>
      </w:r>
    </w:p>
    <w:p w:rsidR="00DC6AE8" w:rsidRPr="003125F4" w:rsidRDefault="00DC6AE8" w:rsidP="00DC6AE8">
      <w:pPr>
        <w:autoSpaceDE w:val="0"/>
        <w:autoSpaceDN w:val="0"/>
        <w:adjustRightInd w:val="0"/>
        <w:spacing w:before="100" w:beforeAutospacing="1" w:after="100" w:afterAutospacing="1" w:line="360" w:lineRule="auto"/>
        <w:jc w:val="both"/>
        <w:rPr>
          <w:rFonts w:ascii="Palatino Linotype" w:hAnsi="Palatino Linotype" w:cs="Arial"/>
        </w:rPr>
      </w:pPr>
      <w:r w:rsidRPr="003125F4">
        <w:rPr>
          <w:rFonts w:ascii="Palatino Linotype" w:hAnsi="Palatino Linotype" w:cs="Arial"/>
        </w:rPr>
        <w:t xml:space="preserve">Siendo aplicable el Criterio </w:t>
      </w:r>
      <w:r w:rsidRPr="003125F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125F4">
        <w:rPr>
          <w:rFonts w:ascii="Palatino Linotype" w:hAnsi="Palatino Linotype" w:cs="Arial"/>
        </w:rPr>
        <w:t>cuyo rubro y texto dispone:</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sz w:val="22"/>
          <w:szCs w:val="22"/>
          <w:lang w:eastAsia="es-MX"/>
        </w:rPr>
        <w:t>“</w:t>
      </w:r>
      <w:r w:rsidRPr="003125F4">
        <w:rPr>
          <w:rFonts w:ascii="Palatino Linotype" w:hAnsi="Palatino Linotype" w:cs="Arial"/>
          <w:i/>
          <w:sz w:val="22"/>
          <w:szCs w:val="22"/>
          <w:lang w:eastAsia="es-MX"/>
        </w:rPr>
        <w:t>CRITERIO 0002-11</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 xml:space="preserve">INFORMACIÓN PÚBLICA, CONCEPTO DE, EN MATERIA DE TRANSPARENCIA. INTERPRETACIÓN SISTEMÁTICA DE LOS ARTÍCULOS 2°, FRACCIÓN </w:t>
      </w:r>
      <w:r w:rsidRPr="003125F4">
        <w:rPr>
          <w:rFonts w:ascii="Palatino Linotype" w:hAnsi="Palatino Linotype" w:cs="Arial"/>
          <w:bCs/>
          <w:i/>
          <w:sz w:val="22"/>
          <w:szCs w:val="22"/>
          <w:lang w:eastAsia="es-MX"/>
        </w:rPr>
        <w:t xml:space="preserve">V, XV, Y XVI, </w:t>
      </w:r>
      <w:r w:rsidRPr="003125F4">
        <w:rPr>
          <w:rFonts w:ascii="Palatino Linotype" w:hAnsi="Palatino Linotype" w:cs="Arial"/>
          <w:i/>
          <w:sz w:val="22"/>
          <w:szCs w:val="22"/>
          <w:lang w:eastAsia="es-MX"/>
        </w:rPr>
        <w:t xml:space="preserve">3°, 4°, 11 Y 41. De conformidad con los artículos antes referidos, el derecho de acceso a la información pública, se define en cuanto a su alcance y resultado material, el acceso a los archivos, registros y documentos públicos, administrados, generados o en posesión de los </w:t>
      </w:r>
      <w:r w:rsidRPr="003125F4">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En consecuencia el acceso a la información se refiere a que se cumplan cualquiera de los siguientes tres supuestos:</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DC6AE8" w:rsidRPr="003125F4" w:rsidRDefault="00DC6AE8" w:rsidP="00DC6AE8">
      <w:pPr>
        <w:spacing w:before="100" w:beforeAutospacing="1" w:after="100" w:afterAutospacing="1"/>
        <w:ind w:left="851" w:right="851"/>
        <w:jc w:val="both"/>
        <w:rPr>
          <w:rFonts w:ascii="Palatino Linotype" w:hAnsi="Palatino Linotype" w:cs="Arial"/>
          <w:i/>
          <w:sz w:val="22"/>
          <w:szCs w:val="22"/>
          <w:lang w:eastAsia="es-MX"/>
        </w:rPr>
      </w:pPr>
      <w:r w:rsidRPr="003125F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DC6AE8" w:rsidRPr="003125F4" w:rsidRDefault="00DC6AE8" w:rsidP="00DC6AE8">
      <w:pPr>
        <w:spacing w:before="100" w:beforeAutospacing="1" w:after="100" w:afterAutospacing="1" w:line="360" w:lineRule="auto"/>
        <w:jc w:val="both"/>
        <w:rPr>
          <w:rFonts w:ascii="Palatino Linotype" w:eastAsiaTheme="minorHAnsi" w:hAnsi="Palatino Linotype" w:cs="Arial"/>
          <w:szCs w:val="22"/>
          <w:lang w:val="es-MX" w:eastAsia="en-US"/>
        </w:rPr>
      </w:pPr>
      <w:r w:rsidRPr="003125F4">
        <w:rPr>
          <w:rFonts w:ascii="Palatino Linotype" w:eastAsiaTheme="minorHAnsi" w:hAnsi="Palatino Linotype" w:cs="Arial"/>
          <w:szCs w:val="22"/>
          <w:lang w:val="es-MX" w:eastAsia="en-US"/>
        </w:rPr>
        <w:t xml:space="preserve">Es importante entender que los Sujetos Obligados </w:t>
      </w:r>
      <w:r>
        <w:rPr>
          <w:rFonts w:ascii="Palatino Linotype" w:eastAsiaTheme="minorHAnsi" w:hAnsi="Palatino Linotype" w:cs="Arial"/>
          <w:szCs w:val="22"/>
          <w:lang w:val="es-MX" w:eastAsia="en-US"/>
        </w:rPr>
        <w:t>están constreñidos a documentar todo acto de autoridad que realice en el ejercicio de sus facultades, competencias o funciones</w:t>
      </w:r>
      <w:r w:rsidRPr="003125F4">
        <w:rPr>
          <w:rFonts w:ascii="Palatino Linotype" w:eastAsiaTheme="minorHAnsi" w:hAnsi="Palatino Linotype" w:cs="Arial"/>
          <w:szCs w:val="22"/>
          <w:lang w:val="es-MX" w:eastAsia="en-US"/>
        </w:rPr>
        <w:t>, lo anterior se encuent</w:t>
      </w:r>
      <w:r>
        <w:rPr>
          <w:rFonts w:ascii="Palatino Linotype" w:eastAsiaTheme="minorHAnsi" w:hAnsi="Palatino Linotype" w:cs="Arial"/>
          <w:szCs w:val="22"/>
          <w:lang w:val="es-MX" w:eastAsia="en-US"/>
        </w:rPr>
        <w:t>ra establecido en el artículo 18</w:t>
      </w:r>
      <w:r w:rsidRPr="003125F4">
        <w:rPr>
          <w:rFonts w:ascii="Palatino Linotype" w:eastAsiaTheme="minorHAnsi" w:hAnsi="Palatino Linotype" w:cs="Arial"/>
          <w:szCs w:val="22"/>
          <w:lang w:val="es-MX" w:eastAsia="en-US"/>
        </w:rPr>
        <w:t xml:space="preserve"> de la Ley de la materia que reza de la siguiente manera:</w:t>
      </w:r>
    </w:p>
    <w:p w:rsidR="00DC6AE8" w:rsidRPr="003125F4" w:rsidRDefault="00DC6AE8" w:rsidP="00DC6AE8">
      <w:pPr>
        <w:spacing w:before="100" w:beforeAutospacing="1" w:after="100" w:afterAutospacing="1"/>
        <w:ind w:left="851" w:right="851"/>
        <w:jc w:val="both"/>
        <w:rPr>
          <w:rFonts w:ascii="Palatino Linotype" w:eastAsiaTheme="minorHAnsi" w:hAnsi="Palatino Linotype" w:cs="Arial"/>
          <w:i/>
          <w:sz w:val="22"/>
          <w:szCs w:val="22"/>
          <w:lang w:val="es-MX" w:eastAsia="en-US"/>
        </w:rPr>
      </w:pPr>
      <w:r>
        <w:rPr>
          <w:rFonts w:ascii="Palatino Linotype" w:eastAsiaTheme="minorHAnsi" w:hAnsi="Palatino Linotype" w:cs="Arial"/>
          <w:i/>
          <w:sz w:val="22"/>
          <w:szCs w:val="22"/>
          <w:lang w:eastAsia="en-US"/>
        </w:rPr>
        <w:t>“</w:t>
      </w:r>
      <w:r w:rsidRPr="003125F4">
        <w:rPr>
          <w:rFonts w:ascii="Palatino Linotype" w:eastAsiaTheme="minorHAnsi" w:hAnsi="Palatino Linotype" w:cs="Arial"/>
          <w:i/>
          <w:sz w:val="22"/>
          <w:szCs w:val="22"/>
          <w:lang w:eastAsia="en-US"/>
        </w:rPr>
        <w:t>Artículo 18. Los sujetos obligados deberán documentar todo acto que derive del ejercicio de sus facultades, competencias o funciones, considerando desde su origen la eventual publicidad y reutilización de la información que generen.</w:t>
      </w:r>
      <w:r>
        <w:rPr>
          <w:rFonts w:ascii="Palatino Linotype" w:eastAsiaTheme="minorHAnsi" w:hAnsi="Palatino Linotype" w:cs="Arial"/>
          <w:i/>
          <w:sz w:val="22"/>
          <w:szCs w:val="22"/>
          <w:lang w:eastAsia="en-US"/>
        </w:rPr>
        <w:t>”</w:t>
      </w:r>
    </w:p>
    <w:p w:rsidR="00DC6AE8" w:rsidRDefault="00DC6AE8" w:rsidP="00DC6AE8">
      <w:pPr>
        <w:spacing w:before="240" w:after="360" w:line="360" w:lineRule="auto"/>
        <w:jc w:val="both"/>
        <w:rPr>
          <w:rFonts w:ascii="Palatino Linotype" w:hAnsi="Palatino Linotype" w:cs="Arial"/>
          <w:lang w:eastAsia="es-MX"/>
        </w:rPr>
      </w:pPr>
      <w:r>
        <w:rPr>
          <w:rFonts w:ascii="Palatino Linotype" w:hAnsi="Palatino Linotype" w:cs="Arial"/>
          <w:lang w:eastAsia="es-MX"/>
        </w:rPr>
        <w:t xml:space="preserve">Fortalece lo anterior, la Tesis Jurisprudencial Tesis: P./J. 54/2008, en la cual se menciona que el derecho de acceso a la información pública es un </w:t>
      </w:r>
      <w:r w:rsidRPr="003125F4">
        <w:rPr>
          <w:rFonts w:ascii="Palatino Linotype" w:hAnsi="Palatino Linotype" w:cs="Arial"/>
          <w:lang w:eastAsia="es-MX"/>
        </w:rPr>
        <w:t xml:space="preserve">derecho </w:t>
      </w:r>
      <w:r>
        <w:rPr>
          <w:rFonts w:ascii="Palatino Linotype" w:hAnsi="Palatino Linotype" w:cs="Arial"/>
          <w:lang w:eastAsia="es-MX"/>
        </w:rPr>
        <w:t xml:space="preserve">que </w:t>
      </w:r>
      <w:r w:rsidRPr="003125F4">
        <w:rPr>
          <w:rFonts w:ascii="Palatino Linotype" w:hAnsi="Palatino Linotype" w:cs="Arial"/>
          <w:lang w:eastAsia="es-MX"/>
        </w:rPr>
        <w:t>resulta ser una consecuencia directa del principio administrativo de transparencia de la información pública gubernamental y, a la vez, se vincula con el derecho de participación de los ciudadanos en la vida pública</w:t>
      </w:r>
      <w:r>
        <w:rPr>
          <w:rFonts w:ascii="Palatino Linotype" w:hAnsi="Palatino Linotype" w:cs="Arial"/>
          <w:lang w:eastAsia="es-MX"/>
        </w:rPr>
        <w:t xml:space="preserve">, </w:t>
      </w:r>
      <w:r w:rsidRPr="00C40677">
        <w:rPr>
          <w:rFonts w:ascii="Palatino Linotype" w:hAnsi="Palatino Linotype" w:cs="Arial"/>
          <w:lang w:eastAsia="es-MX"/>
        </w:rPr>
        <w:t>no sólo como factor de autorrealización personal, sino como mecanismo de control institucional</w:t>
      </w:r>
      <w:r>
        <w:rPr>
          <w:rFonts w:ascii="Palatino Linotype" w:hAnsi="Palatino Linotype" w:cs="Arial"/>
          <w:lang w:eastAsia="es-MX"/>
        </w:rPr>
        <w:t>, a continuación se plasma la Tesis Jurisprudencial citada:</w:t>
      </w:r>
    </w:p>
    <w:p w:rsidR="00DC6AE8" w:rsidRPr="003125F4" w:rsidRDefault="00DC6AE8" w:rsidP="00DC6AE8">
      <w:pPr>
        <w:spacing w:before="100" w:beforeAutospacing="1" w:after="100" w:afterAutospacing="1"/>
        <w:ind w:left="851" w:right="851"/>
        <w:jc w:val="both"/>
        <w:rPr>
          <w:rFonts w:ascii="Palatino Linotype" w:hAnsi="Palatino Linotype" w:cs="Arial"/>
          <w:i/>
          <w:sz w:val="22"/>
          <w:lang w:eastAsia="es-MX"/>
        </w:rPr>
      </w:pPr>
      <w:r w:rsidRPr="003125F4">
        <w:rPr>
          <w:rFonts w:ascii="Palatino Linotype" w:hAnsi="Palatino Linotype" w:cs="Arial"/>
          <w:i/>
          <w:sz w:val="22"/>
          <w:lang w:eastAsia="es-MX"/>
        </w:rPr>
        <w:lastRenderedPageBreak/>
        <w:t>“ACCESO A LA INFORMACIÓN. SU NATURALEZA COMO GARANTÍAS INDIVIDUAL Y SOCIAL.</w:t>
      </w:r>
    </w:p>
    <w:p w:rsidR="00DC6AE8" w:rsidRPr="00DC6AE8" w:rsidRDefault="00DC6AE8" w:rsidP="00DC6AE8">
      <w:pPr>
        <w:spacing w:before="100" w:beforeAutospacing="1" w:after="100" w:afterAutospacing="1"/>
        <w:ind w:left="851" w:right="851"/>
        <w:jc w:val="both"/>
        <w:rPr>
          <w:rFonts w:ascii="Palatino Linotype" w:hAnsi="Palatino Linotype" w:cs="Arial"/>
          <w:lang w:eastAsia="es-MX"/>
        </w:rPr>
      </w:pPr>
      <w:r w:rsidRPr="003125F4">
        <w:rPr>
          <w:rFonts w:ascii="Palatino Linotype" w:hAnsi="Palatino Linotype" w:cs="Arial"/>
          <w:i/>
          <w:sz w:val="22"/>
          <w:lang w:eastAsia="es-MX"/>
        </w:rPr>
        <w:t>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Pr>
          <w:rFonts w:ascii="Palatino Linotype" w:hAnsi="Palatino Linotype" w:cs="Arial"/>
          <w:i/>
          <w:sz w:val="22"/>
          <w:lang w:eastAsia="es-MX"/>
        </w:rPr>
        <w:t>”</w:t>
      </w:r>
    </w:p>
    <w:p w:rsidR="00DC6AE8" w:rsidRDefault="00DC6AE8" w:rsidP="00DC6AE8">
      <w:pPr>
        <w:spacing w:before="100" w:beforeAutospacing="1" w:after="100" w:afterAutospacing="1" w:line="360" w:lineRule="auto"/>
        <w:jc w:val="both"/>
        <w:rPr>
          <w:rFonts w:ascii="Palatino Linotype" w:hAnsi="Palatino Linotype" w:cs="Arial"/>
          <w:bCs/>
        </w:rPr>
      </w:pPr>
      <w:r w:rsidRPr="006F502A">
        <w:rPr>
          <w:rFonts w:ascii="Palatino Linotype" w:hAnsi="Palatino Linotype" w:cs="Arial"/>
          <w:bCs/>
        </w:rPr>
        <w:t xml:space="preserve">Finalmente, toda vez que el presente recurso de revisión tuvo como origen la falta de respuesta por parte del Sujeto Obligado en el plazo que tienen los Sujetos Obligados para atender las solicitudes de información que les son formuladas, de conformidad, según lo que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w:t>
      </w:r>
      <w:r w:rsidRPr="006F502A">
        <w:rPr>
          <w:rFonts w:ascii="Palatino Linotype" w:hAnsi="Palatino Linotype" w:cs="Arial"/>
          <w:bCs/>
        </w:rPr>
        <w:lastRenderedPageBreak/>
        <w:t>Titular de la Contraloría Interna y Órgano de Control y Vigilancia de este Instituto a fin de que en ejercicio de sus funciones determine lo conducente.</w:t>
      </w:r>
    </w:p>
    <w:p w:rsidR="00854296" w:rsidRDefault="00854296" w:rsidP="00854296">
      <w:pPr>
        <w:spacing w:before="100" w:beforeAutospacing="1" w:after="100" w:afterAutospacing="1" w:line="360" w:lineRule="auto"/>
        <w:ind w:right="-425"/>
        <w:jc w:val="both"/>
        <w:rPr>
          <w:rFonts w:ascii="Palatino Linotype" w:hAnsi="Palatino Linotype"/>
          <w:b/>
          <w:color w:val="000000"/>
        </w:rPr>
      </w:pPr>
      <w:r>
        <w:rPr>
          <w:rFonts w:ascii="Palatino Linotype" w:hAnsi="Palatino Linotype"/>
          <w:b/>
          <w:color w:val="000000"/>
        </w:rPr>
        <w:t>QUINTO. Versión Pública.</w:t>
      </w:r>
      <w:r>
        <w:rPr>
          <w:rFonts w:ascii="Palatino Linotype" w:hAnsi="Palatino Linotype" w:cs="Arial"/>
          <w:bCs/>
        </w:rPr>
        <w:t xml:space="preserve"> Respecto de los documentos que se ordena su entrega, </w:t>
      </w:r>
      <w:r>
        <w:rPr>
          <w:rFonts w:ascii="Palatino Linotype" w:hAnsi="Palatino Linotype" w:cs="Arial"/>
        </w:rPr>
        <w:t>resulta oportuno observar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al contener datos personales, deberá realizar una versión pública en la que se suprima aquella información relacionada con la vida privada de los particulares y de los servidores públicos.</w:t>
      </w:r>
    </w:p>
    <w:p w:rsidR="00854296" w:rsidRDefault="00854296" w:rsidP="00854296">
      <w:pPr>
        <w:spacing w:before="100" w:beforeAutospacing="1" w:after="100" w:afterAutospacing="1" w:line="360" w:lineRule="auto"/>
        <w:ind w:right="-425"/>
        <w:jc w:val="both"/>
        <w:rPr>
          <w:rFonts w:ascii="Palatino Linotype" w:hAnsi="Palatino Linotype" w:cs="Arial"/>
        </w:rPr>
      </w:pPr>
      <w:r>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854296" w:rsidRDefault="00854296" w:rsidP="00854296">
      <w:pPr>
        <w:spacing w:before="100" w:beforeAutospacing="1" w:after="100" w:afterAutospacing="1" w:line="360" w:lineRule="auto"/>
        <w:ind w:right="-425"/>
        <w:jc w:val="both"/>
        <w:rPr>
          <w:rFonts w:ascii="Palatino Linotype" w:hAnsi="Palatino Linotype" w:cs="Arial"/>
        </w:rPr>
      </w:pPr>
      <w:r>
        <w:rPr>
          <w:rFonts w:ascii="Palatino Linotype" w:hAnsi="Palatino Linotype" w:cs="Arial"/>
        </w:rPr>
        <w:t>De este modo, en armonía con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54296" w:rsidRDefault="00854296" w:rsidP="00854296">
      <w:pPr>
        <w:spacing w:before="240" w:after="240" w:line="360" w:lineRule="auto"/>
        <w:jc w:val="both"/>
        <w:rPr>
          <w:rFonts w:ascii="Palatino Linotype" w:eastAsia="Times New Roman" w:hAnsi="Palatino Linotype" w:cs="Arial"/>
          <w:lang w:val="es-MX"/>
        </w:rPr>
      </w:pPr>
      <w:r>
        <w:rPr>
          <w:rFonts w:ascii="Palatino Linotype" w:hAnsi="Palatino Linotype" w:cs="Arial"/>
        </w:rPr>
        <w:lastRenderedPageBreak/>
        <w:t xml:space="preserve">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así como números de cuentas bancarias, </w:t>
      </w:r>
      <w:r>
        <w:rPr>
          <w:rFonts w:ascii="Palatino Linotype" w:eastAsia="Times New Roman" w:hAnsi="Palatino Linotype" w:cs="Arial"/>
        </w:rPr>
        <w:t xml:space="preserve">las </w:t>
      </w:r>
      <w:r>
        <w:rPr>
          <w:rFonts w:ascii="Palatino Linotype" w:eastAsia="Times New Roman" w:hAnsi="Palatino Linotype" w:cs="Arial"/>
          <w:b/>
        </w:rPr>
        <w:t>Cadenas Originales de Sellos</w:t>
      </w:r>
      <w:r>
        <w:rPr>
          <w:rFonts w:ascii="Palatino Linotype" w:eastAsia="Times New Roman" w:hAnsi="Palatino Linotype" w:cs="Arial"/>
        </w:rPr>
        <w:t xml:space="preserve"> </w:t>
      </w:r>
      <w:r>
        <w:rPr>
          <w:rFonts w:ascii="Palatino Linotype" w:eastAsia="Times New Roman" w:hAnsi="Palatino Linotype" w:cs="Arial"/>
          <w:b/>
        </w:rPr>
        <w:t>Digitales</w:t>
      </w:r>
      <w:r>
        <w:rPr>
          <w:rFonts w:ascii="Palatino Linotype" w:eastAsia="Times New Roman" w:hAnsi="Palatino Linotype" w:cs="Arial"/>
        </w:rPr>
        <w:t xml:space="preserve">, los </w:t>
      </w:r>
      <w:r>
        <w:rPr>
          <w:rFonts w:ascii="Palatino Linotype" w:eastAsia="Times New Roman" w:hAnsi="Palatino Linotype" w:cs="Arial"/>
          <w:b/>
        </w:rPr>
        <w:t>Códigos Bidimensionales</w:t>
      </w:r>
      <w:r>
        <w:rPr>
          <w:rFonts w:ascii="Palatino Linotype" w:eastAsia="Times New Roman" w:hAnsi="Palatino Linotype" w:cs="Arial"/>
        </w:rPr>
        <w:t xml:space="preserve">, también denominados </w:t>
      </w:r>
      <w:r>
        <w:rPr>
          <w:rFonts w:ascii="Palatino Linotype" w:eastAsia="Times New Roman" w:hAnsi="Palatino Linotype" w:cs="Arial"/>
          <w:b/>
        </w:rPr>
        <w:t xml:space="preserve">Códigos QR </w:t>
      </w:r>
      <w:r>
        <w:rPr>
          <w:rFonts w:ascii="Palatino Linotype" w:eastAsia="Times New Roman" w:hAnsi="Palatino Linotype" w:cs="Arial"/>
        </w:rPr>
        <w:t>y números de cuenta.</w:t>
      </w:r>
    </w:p>
    <w:p w:rsidR="00854296" w:rsidRDefault="00854296" w:rsidP="00854296">
      <w:pPr>
        <w:autoSpaceDE w:val="0"/>
        <w:autoSpaceDN w:val="0"/>
        <w:adjustRightInd w:val="0"/>
        <w:spacing w:before="100" w:beforeAutospacing="1" w:after="100" w:afterAutospacing="1" w:line="360" w:lineRule="auto"/>
        <w:ind w:right="-425"/>
        <w:jc w:val="both"/>
        <w:rPr>
          <w:rFonts w:ascii="Palatino Linotype" w:eastAsia="Times New Roman" w:hAnsi="Palatino Linotype" w:cs="Arial"/>
        </w:rPr>
      </w:pPr>
      <w:r>
        <w:rPr>
          <w:rFonts w:ascii="Palatino Linotype" w:eastAsia="Times New Roman"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854296" w:rsidRDefault="00854296" w:rsidP="00854296">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54296" w:rsidRDefault="00854296" w:rsidP="00854296">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t>Lo anterior es compartido por el Instituto Nacional de Acceso a la Información Pública y Protección de Datos Personales (INAI) a través del Criterio 19/17, el cual es del tenor literal siguiente:</w:t>
      </w:r>
    </w:p>
    <w:p w:rsidR="00854296" w:rsidRDefault="00854296" w:rsidP="00854296">
      <w:pPr>
        <w:autoSpaceDE w:val="0"/>
        <w:autoSpaceDN w:val="0"/>
        <w:adjustRightInd w:val="0"/>
        <w:spacing w:before="100" w:beforeAutospacing="1" w:after="100" w:afterAutospacing="1"/>
        <w:ind w:left="851" w:right="851"/>
        <w:jc w:val="both"/>
        <w:rPr>
          <w:rFonts w:ascii="Palatino Linotype" w:eastAsia="Times New Roman" w:hAnsi="Palatino Linotype" w:cs="Arial"/>
          <w:b/>
          <w:bCs/>
          <w:i/>
          <w:sz w:val="22"/>
          <w:szCs w:val="22"/>
          <w:lang w:val="es-MX"/>
        </w:rPr>
      </w:pPr>
      <w:r>
        <w:rPr>
          <w:rFonts w:ascii="Palatino Linotype" w:eastAsia="Times New Roman" w:hAnsi="Palatino Linotype" w:cs="Arial"/>
          <w:b/>
          <w:bCs/>
          <w:i/>
          <w:sz w:val="22"/>
          <w:szCs w:val="22"/>
        </w:rPr>
        <w:t>“</w:t>
      </w:r>
      <w:r>
        <w:rPr>
          <w:rFonts w:ascii="Palatino Linotype" w:eastAsia="Times New Roman" w:hAnsi="Palatino Linotype" w:cs="Arial"/>
          <w:b/>
          <w:bCs/>
          <w:i/>
          <w:sz w:val="22"/>
          <w:szCs w:val="22"/>
          <w:lang w:val="es-MX"/>
        </w:rPr>
        <w:t>Registro Federal de Contribuyentes (RFC) de personas físicas.</w:t>
      </w:r>
      <w:r>
        <w:rPr>
          <w:rFonts w:ascii="Palatino Linotype" w:eastAsia="Times New Roman" w:hAnsi="Palatino Linotype" w:cs="Arial"/>
          <w:bCs/>
          <w:i/>
          <w:sz w:val="22"/>
          <w:szCs w:val="22"/>
          <w:lang w:val="es-MX"/>
        </w:rPr>
        <w:t xml:space="preserve"> El RFC es una clave de carácter fiscal, única e irrepetible, que permite identificar al titular, su edad y fecha de nacimiento, por lo que es un dato personal de carácter confidencial</w:t>
      </w:r>
      <w:r>
        <w:rPr>
          <w:rFonts w:ascii="Palatino Linotype" w:eastAsia="Times New Roman" w:hAnsi="Palatino Linotype" w:cs="Arial"/>
          <w:b/>
          <w:bCs/>
          <w:i/>
          <w:sz w:val="22"/>
          <w:szCs w:val="22"/>
          <w:lang w:val="es-MX"/>
        </w:rPr>
        <w:t>.”</w:t>
      </w:r>
    </w:p>
    <w:p w:rsidR="00854296" w:rsidRDefault="00854296" w:rsidP="00854296">
      <w:pPr>
        <w:spacing w:before="100" w:beforeAutospacing="1" w:after="100" w:afterAutospacing="1" w:line="360" w:lineRule="auto"/>
        <w:ind w:right="-425"/>
        <w:jc w:val="both"/>
        <w:rPr>
          <w:rFonts w:ascii="Palatino Linotype" w:hAnsi="Palatino Linotype" w:cs="Arial"/>
          <w:lang w:eastAsia="es-MX"/>
        </w:rPr>
      </w:pPr>
      <w:r>
        <w:rPr>
          <w:rFonts w:ascii="Palatino Linotype" w:hAnsi="Palatino Linotype" w:cs="Arial"/>
          <w:lang w:eastAsia="es-MX"/>
        </w:rPr>
        <w:t xml:space="preserve">Así, el RFC se vincula al nombre de su titular y permite identificar la edad de la persona, su fecha de nacimiento, así como su homoclave, la cual es única e irrepetible y determina </w:t>
      </w:r>
      <w:r>
        <w:rPr>
          <w:rFonts w:ascii="Palatino Linotype" w:hAnsi="Palatino Linotype" w:cs="Arial"/>
          <w:lang w:eastAsia="es-MX"/>
        </w:rPr>
        <w:lastRenderedPageBreak/>
        <w:t>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w:t>
      </w:r>
    </w:p>
    <w:p w:rsidR="00854296" w:rsidRDefault="00854296" w:rsidP="00854296">
      <w:pPr>
        <w:pStyle w:val="Sinespaciado"/>
        <w:spacing w:before="100" w:beforeAutospacing="1" w:after="100" w:afterAutospacing="1" w:line="360" w:lineRule="auto"/>
        <w:ind w:right="-425"/>
        <w:jc w:val="both"/>
        <w:rPr>
          <w:rFonts w:ascii="Palatino Linotype" w:eastAsia="Calibri" w:hAnsi="Palatino Linotype" w:cs="Arial"/>
          <w:lang w:eastAsia="es-MX"/>
        </w:rPr>
      </w:pPr>
      <w:r>
        <w:rPr>
          <w:rFonts w:ascii="Palatino Linotype" w:hAnsi="Palatino Linotype" w:cs="Arial"/>
          <w:lang w:eastAsia="es-MX"/>
        </w:rPr>
        <w:t xml:space="preserve">En cuanto al </w:t>
      </w:r>
      <w:r>
        <w:rPr>
          <w:rFonts w:ascii="Palatino Linotype" w:hAnsi="Palatino Linotype" w:cs="Arial"/>
        </w:rPr>
        <w:t xml:space="preserve">CURP, en virtud de que éste se </w:t>
      </w:r>
      <w:r>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54296" w:rsidRDefault="00854296" w:rsidP="00854296">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t xml:space="preserve">Argumento que es compartido por el entonces </w:t>
      </w:r>
      <w:r>
        <w:rPr>
          <w:rFonts w:ascii="Palatino Linotype" w:eastAsia="Times New Roman" w:hAnsi="Palatino Linotype" w:cs="Arial"/>
          <w:lang w:eastAsia="es-MX"/>
        </w:rPr>
        <w:t>Instituto Nacional de Acceso a la Información Pública y Protección de Datos Personales (INAI)</w:t>
      </w:r>
      <w:r>
        <w:rPr>
          <w:rFonts w:ascii="Palatino Linotype" w:eastAsia="Times New Roman" w:hAnsi="Palatino Linotype" w:cs="Arial"/>
          <w:bCs/>
        </w:rPr>
        <w:t xml:space="preserve">, conforme al </w:t>
      </w:r>
      <w:r>
        <w:rPr>
          <w:rFonts w:ascii="Palatino Linotype" w:eastAsia="Times New Roman" w:hAnsi="Palatino Linotype" w:cs="Arial"/>
        </w:rPr>
        <w:t xml:space="preserve">criterio número 18/17, el cual refiere: </w:t>
      </w:r>
    </w:p>
    <w:p w:rsidR="00854296" w:rsidRDefault="00854296" w:rsidP="00854296">
      <w:pPr>
        <w:autoSpaceDE w:val="0"/>
        <w:autoSpaceDN w:val="0"/>
        <w:adjustRightInd w:val="0"/>
        <w:spacing w:before="240" w:after="240"/>
        <w:ind w:left="851" w:right="900"/>
        <w:jc w:val="both"/>
        <w:rPr>
          <w:rFonts w:ascii="Palatino Linotype" w:eastAsia="Times New Roman" w:hAnsi="Palatino Linotype" w:cs="Arial"/>
          <w:i/>
          <w:sz w:val="22"/>
          <w:lang w:eastAsia="es-MX"/>
        </w:rPr>
      </w:pPr>
      <w:r>
        <w:rPr>
          <w:rFonts w:ascii="Palatino Linotype" w:eastAsia="Times New Roman" w:hAnsi="Palatino Linotype" w:cs="Arial"/>
          <w:b/>
          <w:bCs/>
          <w:i/>
          <w:sz w:val="22"/>
          <w:lang w:eastAsia="es-MX"/>
        </w:rPr>
        <w:t xml:space="preserve">“Clave Única de Registro de Población (CURP). </w:t>
      </w:r>
      <w:r>
        <w:rPr>
          <w:rFonts w:ascii="Palatino Linotype" w:eastAsia="Times New Roman" w:hAnsi="Palatino Linotype" w:cs="Arial"/>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Pr>
          <w:rFonts w:ascii="Palatino Linotype" w:eastAsia="Times New Roman" w:hAnsi="Palatino Linotype" w:cs="Arial"/>
          <w:b/>
          <w:bCs/>
          <w:i/>
          <w:sz w:val="22"/>
          <w:lang w:eastAsia="es-MX"/>
        </w:rPr>
        <w:t>.</w:t>
      </w:r>
      <w:r>
        <w:rPr>
          <w:rFonts w:ascii="Palatino Linotype" w:eastAsia="Times New Roman" w:hAnsi="Palatino Linotype" w:cs="Arial"/>
          <w:i/>
          <w:sz w:val="22"/>
          <w:lang w:eastAsia="es-MX"/>
        </w:rPr>
        <w:t>” (Sic)</w:t>
      </w:r>
    </w:p>
    <w:p w:rsidR="00854296" w:rsidRDefault="00854296" w:rsidP="00854296">
      <w:pPr>
        <w:spacing w:line="360" w:lineRule="auto"/>
        <w:jc w:val="both"/>
        <w:rPr>
          <w:rFonts w:ascii="Palatino Linotype" w:eastAsia="Times New Roman" w:hAnsi="Palatino Linotype" w:cs="Arial"/>
        </w:rPr>
      </w:pPr>
      <w:r>
        <w:rPr>
          <w:rFonts w:ascii="Palatino Linotype" w:eastAsia="Times New Roman" w:hAnsi="Palatino Linotype" w:cs="Arial"/>
        </w:rPr>
        <w:t xml:space="preserve">Las </w:t>
      </w:r>
      <w:r>
        <w:rPr>
          <w:rFonts w:ascii="Palatino Linotype" w:eastAsia="Times New Roman" w:hAnsi="Palatino Linotype" w:cs="Arial"/>
          <w:b/>
        </w:rPr>
        <w:t>Cadenas Originales del Sellos</w:t>
      </w:r>
      <w:r>
        <w:rPr>
          <w:rFonts w:ascii="Palatino Linotype" w:eastAsia="Times New Roman" w:hAnsi="Palatino Linotype" w:cs="Arial"/>
        </w:rPr>
        <w:t xml:space="preserve"> </w:t>
      </w:r>
      <w:r>
        <w:rPr>
          <w:rFonts w:ascii="Palatino Linotype" w:eastAsia="Times New Roman" w:hAnsi="Palatino Linotype" w:cs="Arial"/>
          <w:b/>
        </w:rPr>
        <w:t>Digitales</w:t>
      </w:r>
      <w:r>
        <w:rPr>
          <w:rFonts w:ascii="Palatino Linotype" w:eastAsia="Times New Roman" w:hAnsi="Palatino Linotype" w:cs="Arial"/>
        </w:rPr>
        <w:t xml:space="preserve">, puesto que forman parte del </w:t>
      </w:r>
      <w:r>
        <w:rPr>
          <w:rFonts w:ascii="Palatino Linotype" w:eastAsia="Times New Roman" w:hAnsi="Palatino Linotype" w:cs="Arial"/>
          <w:lang w:val="es-ES_tradnl"/>
        </w:rPr>
        <w:t xml:space="preserve">certificado de sello digital, los cuales </w:t>
      </w:r>
      <w:r>
        <w:rPr>
          <w:rFonts w:ascii="Palatino Linotype" w:eastAsia="Times New Roman" w:hAnsi="Palatino Linotype" w:cs="Arial"/>
        </w:rPr>
        <w:t xml:space="preserve">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w:t>
      </w:r>
      <w:r>
        <w:rPr>
          <w:rFonts w:ascii="Palatino Linotype" w:eastAsia="Times New Roman" w:hAnsi="Palatino Linotype" w:cs="Arial"/>
        </w:rPr>
        <w:lastRenderedPageBreak/>
        <w:t>específico firmar digitalmente las facturas electrónicas para acreditar la autoría de los comprobantes fiscales</w:t>
      </w:r>
      <w:r>
        <w:rPr>
          <w:rFonts w:ascii="Palatino Linotype" w:eastAsia="Times New Roman" w:hAnsi="Palatino Linotype" w:cs="Arial"/>
          <w:vertAlign w:val="superscript"/>
        </w:rPr>
        <w:footnoteReference w:id="3"/>
      </w:r>
      <w:r>
        <w:rPr>
          <w:rFonts w:ascii="Palatino Linotype" w:eastAsia="Times New Roman" w:hAnsi="Palatino Linotype" w:cs="Arial"/>
        </w:rPr>
        <w:t>.</w:t>
      </w:r>
    </w:p>
    <w:p w:rsidR="00854296" w:rsidRDefault="00854296" w:rsidP="00854296">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t xml:space="preserve">Los </w:t>
      </w:r>
      <w:r>
        <w:rPr>
          <w:rFonts w:ascii="Palatino Linotype" w:eastAsia="Times New Roman" w:hAnsi="Palatino Linotype" w:cs="Arial"/>
          <w:b/>
        </w:rPr>
        <w:t>Códigos Bidimensionales</w:t>
      </w:r>
      <w:r>
        <w:rPr>
          <w:rFonts w:ascii="Palatino Linotype" w:eastAsia="Times New Roman" w:hAnsi="Palatino Linotype" w:cs="Arial"/>
        </w:rPr>
        <w:t xml:space="preserve">, también denominados </w:t>
      </w:r>
      <w:r>
        <w:rPr>
          <w:rFonts w:ascii="Palatino Linotype" w:eastAsia="Times New Roman" w:hAnsi="Palatino Linotype" w:cs="Arial"/>
          <w:b/>
        </w:rPr>
        <w:t>Códigos QR</w:t>
      </w:r>
      <w:r>
        <w:rPr>
          <w:rFonts w:ascii="Palatino Linotype" w:eastAsia="Times New Roman" w:hAnsi="Palatino Linotype" w:cs="Arial"/>
        </w:rPr>
        <w:t>,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854296" w:rsidRPr="00854296" w:rsidRDefault="00854296" w:rsidP="00854296">
      <w:pPr>
        <w:spacing w:before="240" w:after="240" w:line="360" w:lineRule="auto"/>
        <w:ind w:right="142"/>
        <w:jc w:val="both"/>
        <w:rPr>
          <w:rFonts w:ascii="Palatino Linotype" w:hAnsi="Palatino Linotype" w:cs="Arial"/>
        </w:rPr>
      </w:pPr>
      <w:r w:rsidRPr="00854296">
        <w:rPr>
          <w:rFonts w:ascii="Palatino Linotype" w:hAnsi="Palatino Linotype" w:cs="Arial"/>
        </w:rPr>
        <w:t xml:space="preserve">Respecto de los números de cuentas bancarias, claves estandarizadas –interbancarias- (CLABES) y de tarjetas, el Pleno de este Instituto ha determinado que esa información debe clasificarse como confidencial en cuanto se refiere a las personas físicas y morales, en cuanto a los Sujetos Obligados estas se entienden </w:t>
      </w:r>
      <w:r w:rsidRPr="00854296">
        <w:rPr>
          <w:rFonts w:ascii="Palatino Linotype" w:hAnsi="Palatino Linotype" w:cs="Arial"/>
        </w:rPr>
        <w:lastRenderedPageBreak/>
        <w:t>publicas pero se deberá elaborar una versión pública en la que se teste los datos personales que pudieran contener, de terceros particulares.</w:t>
      </w:r>
    </w:p>
    <w:p w:rsidR="00854296" w:rsidRPr="00854296" w:rsidRDefault="00854296" w:rsidP="00854296">
      <w:pPr>
        <w:spacing w:before="240" w:after="240" w:line="360" w:lineRule="auto"/>
        <w:ind w:right="142"/>
        <w:jc w:val="both"/>
        <w:rPr>
          <w:rFonts w:ascii="Palatino Linotype" w:hAnsi="Palatino Linotype" w:cs="Arial"/>
        </w:rPr>
      </w:pPr>
      <w:r w:rsidRPr="00854296">
        <w:rPr>
          <w:rFonts w:ascii="Palatino Linotype" w:hAnsi="Palatino Linotype" w:cs="Arial"/>
        </w:rPr>
        <w:t>Lo anterior se robustece con el criterio 11/17 emitido por el INAI que a continuación se trascribe:</w:t>
      </w:r>
    </w:p>
    <w:p w:rsidR="00854296" w:rsidRPr="00854296" w:rsidRDefault="00854296" w:rsidP="00854296">
      <w:pPr>
        <w:spacing w:before="100" w:beforeAutospacing="1" w:after="100" w:afterAutospacing="1"/>
        <w:ind w:left="851" w:right="851"/>
        <w:jc w:val="both"/>
        <w:rPr>
          <w:rFonts w:ascii="Palatino Linotype" w:hAnsi="Palatino Linotype" w:cs="Arial"/>
          <w:i/>
          <w:sz w:val="22"/>
        </w:rPr>
      </w:pPr>
      <w:r w:rsidRPr="00854296">
        <w:rPr>
          <w:rFonts w:ascii="Palatino Linotype" w:hAnsi="Palatino Linotype" w:cs="Arial"/>
          <w:b/>
          <w:i/>
          <w:sz w:val="22"/>
        </w:rPr>
        <w:t>Cuentas bancarias y/o CLABE interbancaria de sujetos obligados que reciben y/o transfieren recursos públicos, son información pública.</w:t>
      </w:r>
      <w:r w:rsidRPr="00854296">
        <w:rPr>
          <w:rFonts w:ascii="Palatino Linotype" w:hAnsi="Palatino Linotype" w:cs="Arial"/>
          <w:i/>
          <w:sz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54296" w:rsidRPr="00E42440" w:rsidRDefault="00854296" w:rsidP="00854296">
      <w:pPr>
        <w:spacing w:before="240" w:after="240" w:line="360" w:lineRule="auto"/>
        <w:ind w:right="142"/>
        <w:jc w:val="both"/>
        <w:rPr>
          <w:rFonts w:ascii="Palatino Linotype" w:eastAsia="Times New Roman" w:hAnsi="Palatino Linotype" w:cs="Arial"/>
          <w:lang w:val="es-MX"/>
        </w:rPr>
      </w:pPr>
      <w:r>
        <w:rPr>
          <w:rFonts w:ascii="Palatino Linotype" w:eastAsia="Times New Roman" w:hAnsi="Palatino Linotype" w:cs="Arial"/>
        </w:rPr>
        <w:t>Respecto al número de cuenta bancaria de los particulares, el sello y cadena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854296" w:rsidRDefault="00854296" w:rsidP="00854296">
      <w:pPr>
        <w:spacing w:before="240" w:after="240" w:line="360" w:lineRule="auto"/>
        <w:ind w:right="142"/>
        <w:jc w:val="both"/>
        <w:rPr>
          <w:rFonts w:ascii="Palatino Linotype" w:hAnsi="Palatino Linotype" w:cs="Arial"/>
        </w:rPr>
      </w:pPr>
      <w:r>
        <w:rPr>
          <w:rFonts w:ascii="Palatino Linotype" w:hAnsi="Palatino Linotype" w:cs="Arial"/>
        </w:rPr>
        <w:t>En cuanto al RFC y domicilio fiscal de las empresas, este dato es público, en virtud de que se manipulan recursos públicos y se debe transparentar el destino de estos.</w:t>
      </w:r>
    </w:p>
    <w:p w:rsidR="00BE6A13" w:rsidRPr="00854296" w:rsidRDefault="00854296" w:rsidP="00854296">
      <w:pPr>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12F5A" w:rsidRDefault="00C12F5A" w:rsidP="00C12F5A">
      <w:pPr>
        <w:spacing w:before="240" w:after="240"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 xml:space="preserve">Por lo anteriormente mencionado, con fundamento en lo prescrito en los artículos 5 párrafos </w:t>
      </w:r>
      <w:r>
        <w:rPr>
          <w:rFonts w:ascii="Palatino Linotype" w:hAnsi="Palatino Linotype" w:cs="Arial"/>
        </w:rPr>
        <w:t>vigésimo, vigésimo primero</w:t>
      </w:r>
      <w:r>
        <w:rPr>
          <w:rFonts w:ascii="Palatino Linotype" w:eastAsia="Times New Roman" w:hAnsi="Palatino Linotype" w:cs="Arial"/>
          <w:szCs w:val="22"/>
          <w:lang w:val="es-MX" w:eastAsia="en-US"/>
        </w:rPr>
        <w:t xml:space="preserve"> y vigésimo segundo de la Constitución Política del Estado Libre y Soberano de México; 2, fracción II; 29, 36 fracciones I y II; 176, 178, 181, 185 de la Ley de Transparencia y Acceso a la Información Pública del Estado de México y Municipios, este Pleno:</w:t>
      </w:r>
    </w:p>
    <w:p w:rsidR="00E654D8" w:rsidRDefault="00E654D8" w:rsidP="00C12F5A">
      <w:pPr>
        <w:spacing w:before="240" w:after="240" w:line="360" w:lineRule="auto"/>
        <w:jc w:val="both"/>
        <w:rPr>
          <w:rFonts w:ascii="Palatino Linotype" w:eastAsia="Times New Roman" w:hAnsi="Palatino Linotype" w:cs="Arial"/>
          <w:szCs w:val="22"/>
          <w:lang w:val="es-MX" w:eastAsia="en-US"/>
        </w:rPr>
      </w:pPr>
    </w:p>
    <w:p w:rsidR="00C12F5A" w:rsidRDefault="00C12F5A" w:rsidP="00C12F5A">
      <w:pPr>
        <w:spacing w:before="240" w:after="360" w:line="360" w:lineRule="auto"/>
        <w:jc w:val="center"/>
        <w:rPr>
          <w:rFonts w:ascii="Palatino Linotype" w:eastAsia="Times New Roman" w:hAnsi="Palatino Linotype" w:cs="Arial"/>
          <w:b/>
          <w:sz w:val="28"/>
          <w:lang w:eastAsia="es-MX"/>
        </w:rPr>
      </w:pPr>
      <w:r>
        <w:rPr>
          <w:rFonts w:ascii="Palatino Linotype" w:eastAsia="Times New Roman" w:hAnsi="Palatino Linotype" w:cs="Arial"/>
          <w:b/>
          <w:sz w:val="28"/>
          <w:lang w:eastAsia="es-MX"/>
        </w:rPr>
        <w:t>III.</w:t>
      </w:r>
      <w:r>
        <w:rPr>
          <w:rFonts w:ascii="Palatino Linotype" w:eastAsia="Times New Roman" w:hAnsi="Palatino Linotype" w:cs="Arial"/>
          <w:b/>
          <w:sz w:val="28"/>
          <w:lang w:eastAsia="es-MX"/>
        </w:rPr>
        <w:tab/>
        <w:t>R E</w:t>
      </w:r>
      <w:r>
        <w:rPr>
          <w:rFonts w:ascii="Palatino Linotype" w:eastAsia="Times New Roman" w:hAnsi="Palatino Linotype" w:cs="Arial"/>
          <w:sz w:val="28"/>
          <w:lang w:eastAsia="es-MX"/>
        </w:rPr>
        <w:t xml:space="preserve"> </w:t>
      </w:r>
      <w:r>
        <w:rPr>
          <w:rFonts w:ascii="Palatino Linotype" w:eastAsia="Times New Roman" w:hAnsi="Palatino Linotype" w:cs="Arial"/>
          <w:b/>
          <w:sz w:val="28"/>
          <w:lang w:eastAsia="es-MX"/>
        </w:rPr>
        <w:t>S U E L V E:</w:t>
      </w:r>
    </w:p>
    <w:p w:rsidR="00C12F5A" w:rsidRDefault="00C12F5A" w:rsidP="00C12F5A">
      <w:pPr>
        <w:spacing w:before="240" w:after="240" w:line="360" w:lineRule="auto"/>
        <w:jc w:val="both"/>
        <w:rPr>
          <w:rFonts w:ascii="Palatino Linotype" w:eastAsia="Times New Roman" w:hAnsi="Palatino Linotype" w:cs="Arial"/>
        </w:rPr>
      </w:pPr>
      <w:r>
        <w:rPr>
          <w:rFonts w:ascii="Palatino Linotype" w:eastAsia="Times New Roman" w:hAnsi="Palatino Linotype" w:cs="Arial"/>
          <w:b/>
          <w:bCs/>
          <w:sz w:val="28"/>
        </w:rPr>
        <w:t>PRIMERO</w:t>
      </w:r>
      <w:r>
        <w:rPr>
          <w:rFonts w:ascii="Palatino Linotype" w:eastAsia="Times New Roman" w:hAnsi="Palatino Linotype" w:cs="Arial"/>
          <w:b/>
          <w:bCs/>
        </w:rPr>
        <w:t xml:space="preserve">. </w:t>
      </w:r>
      <w:r>
        <w:rPr>
          <w:rFonts w:ascii="Palatino Linotype" w:eastAsia="Times New Roman" w:hAnsi="Palatino Linotype" w:cs="Arial"/>
          <w:lang w:val="es-MX" w:eastAsia="en-US"/>
        </w:rPr>
        <w:t xml:space="preserve">Resultan fundadas las razones o motivos de inconformidad hechos valer por la parte recurrente, por lo que en términos del considerando </w:t>
      </w:r>
      <w:r>
        <w:rPr>
          <w:rFonts w:ascii="Palatino Linotype" w:eastAsia="Times New Roman" w:hAnsi="Palatino Linotype" w:cs="Arial"/>
          <w:b/>
          <w:lang w:val="es-MX" w:eastAsia="en-US"/>
        </w:rPr>
        <w:t xml:space="preserve">CUARTO </w:t>
      </w:r>
      <w:r w:rsidRPr="00E654D8">
        <w:rPr>
          <w:rFonts w:ascii="Palatino Linotype" w:eastAsia="Times New Roman" w:hAnsi="Palatino Linotype" w:cs="Arial"/>
          <w:lang w:val="es-MX" w:eastAsia="en-US"/>
        </w:rPr>
        <w:t>y</w:t>
      </w:r>
      <w:r w:rsidRPr="00E654D8">
        <w:rPr>
          <w:rFonts w:ascii="Palatino Linotype" w:eastAsia="Times New Roman" w:hAnsi="Palatino Linotype" w:cs="Arial"/>
          <w:b/>
          <w:lang w:val="es-MX" w:eastAsia="en-US"/>
        </w:rPr>
        <w:t xml:space="preserve"> QUINTO </w:t>
      </w:r>
      <w:r w:rsidRPr="00E654D8">
        <w:rPr>
          <w:rFonts w:ascii="Palatino Linotype" w:eastAsia="Times New Roman" w:hAnsi="Palatino Linotype" w:cs="Arial"/>
          <w:lang w:val="es-MX" w:eastAsia="en-US"/>
        </w:rPr>
        <w:t>de esta resolución</w:t>
      </w:r>
      <w:r w:rsidRPr="00E654D8">
        <w:rPr>
          <w:rFonts w:ascii="Palatino Linotype" w:eastAsia="Times New Roman" w:hAnsi="Palatino Linotype" w:cs="Arial"/>
        </w:rPr>
        <w:t xml:space="preserve"> se </w:t>
      </w:r>
      <w:r w:rsidRPr="00E654D8">
        <w:rPr>
          <w:rFonts w:ascii="Palatino Linotype" w:eastAsia="Times New Roman" w:hAnsi="Palatino Linotype" w:cs="Arial"/>
          <w:b/>
          <w:bCs/>
        </w:rPr>
        <w:t>ORDENA</w:t>
      </w:r>
      <w:r w:rsidRPr="00E654D8">
        <w:rPr>
          <w:rFonts w:ascii="Palatino Linotype" w:eastAsia="Times New Roman" w:hAnsi="Palatino Linotype" w:cs="Arial"/>
        </w:rPr>
        <w:t xml:space="preserve"> al </w:t>
      </w:r>
      <w:r w:rsidRPr="00E654D8">
        <w:rPr>
          <w:rFonts w:ascii="Palatino Linotype" w:eastAsia="Times New Roman" w:hAnsi="Palatino Linotype" w:cs="Arial"/>
          <w:bCs/>
        </w:rPr>
        <w:t>Partido Morena</w:t>
      </w:r>
      <w:r w:rsidRPr="00E654D8">
        <w:rPr>
          <w:rFonts w:ascii="Palatino Linotype" w:eastAsia="Times New Roman" w:hAnsi="Palatino Linotype" w:cs="Arial"/>
        </w:rPr>
        <w:t xml:space="preserve">, </w:t>
      </w:r>
      <w:r w:rsidRPr="00E654D8">
        <w:rPr>
          <w:rFonts w:ascii="Palatino Linotype" w:eastAsia="Times New Roman" w:hAnsi="Palatino Linotype" w:cs="Arial"/>
          <w:bCs/>
        </w:rPr>
        <w:t>atienda la solicitud de información</w:t>
      </w:r>
      <w:r w:rsidRPr="00E654D8">
        <w:rPr>
          <w:rFonts w:ascii="Palatino Linotype" w:eastAsia="Times New Roman" w:hAnsi="Palatino Linotype" w:cs="Arial"/>
        </w:rPr>
        <w:t xml:space="preserve"> </w:t>
      </w:r>
      <w:r w:rsidRPr="00E654D8">
        <w:rPr>
          <w:rFonts w:ascii="Palatino Linotype" w:hAnsi="Palatino Linotype"/>
          <w:b/>
          <w:bCs/>
        </w:rPr>
        <w:t xml:space="preserve">00052/PMOR/IP/2018 </w:t>
      </w:r>
      <w:r w:rsidRPr="00E654D8">
        <w:rPr>
          <w:rFonts w:ascii="Palatino Linotype" w:eastAsia="Times New Roman" w:hAnsi="Palatino Linotype" w:cs="Arial"/>
        </w:rPr>
        <w:t>mediante la entrega vía SAIMEX, en versión pública</w:t>
      </w:r>
      <w:r w:rsidR="00854296" w:rsidRPr="00E654D8">
        <w:rPr>
          <w:rFonts w:ascii="Palatino Linotype" w:eastAsia="Times New Roman" w:hAnsi="Palatino Linotype" w:cs="Arial"/>
        </w:rPr>
        <w:t xml:space="preserve"> de ser procedente</w:t>
      </w:r>
      <w:r w:rsidRPr="00E654D8">
        <w:rPr>
          <w:rFonts w:ascii="Palatino Linotype" w:eastAsia="Times New Roman" w:hAnsi="Palatino Linotype" w:cs="Arial"/>
        </w:rPr>
        <w:t>, de lo siguiente:</w:t>
      </w:r>
    </w:p>
    <w:p w:rsidR="00C12F5A" w:rsidRPr="00E654D8" w:rsidRDefault="00E654D8" w:rsidP="00C12F5A">
      <w:pPr>
        <w:pStyle w:val="Prrafodelista"/>
        <w:numPr>
          <w:ilvl w:val="0"/>
          <w:numId w:val="3"/>
        </w:numPr>
        <w:spacing w:before="100" w:beforeAutospacing="1" w:after="100" w:afterAutospacing="1" w:line="360" w:lineRule="auto"/>
        <w:jc w:val="both"/>
        <w:rPr>
          <w:rFonts w:ascii="Palatino Linotype" w:hAnsi="Palatino Linotype" w:cs="Arial"/>
          <w:i/>
          <w:color w:val="000000" w:themeColor="text1"/>
        </w:rPr>
      </w:pPr>
      <w:r w:rsidRPr="00E654D8">
        <w:rPr>
          <w:rFonts w:ascii="Palatino Linotype" w:hAnsi="Palatino Linotype" w:cs="Arial"/>
          <w:color w:val="000000" w:themeColor="text1"/>
        </w:rPr>
        <w:t xml:space="preserve">El presupuesto asignado </w:t>
      </w:r>
      <w:r w:rsidR="009622D1">
        <w:rPr>
          <w:rFonts w:ascii="Palatino Linotype" w:hAnsi="Palatino Linotype" w:cs="Arial"/>
          <w:color w:val="000000" w:themeColor="text1"/>
        </w:rPr>
        <w:t xml:space="preserve">a los candidatos de Ixtapaluca </w:t>
      </w:r>
      <w:r w:rsidRPr="00E654D8">
        <w:rPr>
          <w:rFonts w:ascii="Palatino Linotype" w:hAnsi="Palatino Linotype" w:cs="Arial"/>
          <w:color w:val="000000" w:themeColor="text1"/>
        </w:rPr>
        <w:t>para el proceso electoral 2017-2018, al mayor grado de detalle posible.</w:t>
      </w:r>
    </w:p>
    <w:p w:rsidR="00C12F5A" w:rsidRDefault="00C12F5A" w:rsidP="00C12F5A">
      <w:pPr>
        <w:spacing w:before="100" w:beforeAutospacing="1" w:after="100" w:afterAutospacing="1" w:line="360" w:lineRule="auto"/>
        <w:jc w:val="both"/>
        <w:rPr>
          <w:rFonts w:ascii="Palatino Linotype" w:hAnsi="Palatino Linotype" w:cs="Segoe UI"/>
          <w:i/>
        </w:rPr>
      </w:pPr>
      <w:r w:rsidRPr="00E654D8">
        <w:rPr>
          <w:rFonts w:ascii="Palatino Linotype" w:hAnsi="Palatino Linotype" w:cs="Segoe UI"/>
          <w:i/>
        </w:rPr>
        <w:t>Para la entrega en versión pública de ser el caso,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C12F5A" w:rsidRDefault="00C12F5A" w:rsidP="00C12F5A">
      <w:pPr>
        <w:spacing w:before="100" w:beforeAutospacing="1" w:after="100" w:afterAutospacing="1" w:line="360" w:lineRule="auto"/>
        <w:jc w:val="both"/>
        <w:rPr>
          <w:rFonts w:ascii="Palatino Linotype" w:eastAsia="Times New Roman" w:hAnsi="Palatino Linotype" w:cs="Arial"/>
          <w:lang w:val="es-MX" w:eastAsia="en-US"/>
        </w:rPr>
      </w:pPr>
      <w:r>
        <w:rPr>
          <w:rFonts w:ascii="Palatino Linotype" w:eastAsia="Times New Roman" w:hAnsi="Palatino Linotype" w:cs="Arial"/>
          <w:b/>
          <w:bCs/>
          <w:sz w:val="28"/>
          <w:lang w:val="es-MX" w:eastAsia="en-US"/>
        </w:rPr>
        <w:lastRenderedPageBreak/>
        <w:t>SEGUNDO</w:t>
      </w:r>
      <w:r>
        <w:rPr>
          <w:rFonts w:ascii="Palatino Linotype" w:eastAsia="Times New Roman" w:hAnsi="Palatino Linotype" w:cs="Arial"/>
          <w:b/>
          <w:bCs/>
          <w:lang w:val="es-MX" w:eastAsia="en-US"/>
        </w:rPr>
        <w:t>. NOTIFÍQUESE</w:t>
      </w:r>
      <w:r>
        <w:rPr>
          <w:rFonts w:ascii="Palatino Linotype" w:eastAsia="Times New Roman" w:hAnsi="Palatino Linotype" w:cs="Arial"/>
          <w:lang w:val="es-MX" w:eastAsia="en-US"/>
        </w:rPr>
        <w:t xml:space="preserve"> la presente resolución </w:t>
      </w:r>
      <w:r>
        <w:rPr>
          <w:rFonts w:ascii="Palatino Linotype" w:eastAsia="Times New Roman" w:hAnsi="Palatino Linotype" w:cs="Arial"/>
          <w:bCs/>
          <w:lang w:val="es-MX" w:eastAsia="en-US"/>
        </w:rPr>
        <w:t>al Titular de la Unidad de Transparencia del</w:t>
      </w:r>
      <w:r>
        <w:rPr>
          <w:rFonts w:ascii="Palatino Linotype" w:eastAsia="Times New Roman" w:hAnsi="Palatino Linotype" w:cs="Arial"/>
          <w:b/>
          <w:bCs/>
          <w:lang w:val="es-MX" w:eastAsia="en-US"/>
        </w:rPr>
        <w:t> </w:t>
      </w:r>
      <w:r>
        <w:rPr>
          <w:rFonts w:ascii="Palatino Linotype" w:eastAsia="Times New Roman" w:hAnsi="Palatino Linotype" w:cs="Arial"/>
          <w:bCs/>
          <w:lang w:val="es-MX" w:eastAsia="en-US"/>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de la misma</w:t>
      </w:r>
      <w:r>
        <w:rPr>
          <w:rFonts w:ascii="Palatino Linotype" w:eastAsia="Times New Roman" w:hAnsi="Palatino Linotype" w:cs="Arial"/>
          <w:lang w:val="es-MX" w:eastAsia="en-US"/>
        </w:rPr>
        <w:t xml:space="preserve"> tal y como lo disponen los artículos 198 y 199 de la citada ley. </w:t>
      </w:r>
    </w:p>
    <w:p w:rsidR="00C12F5A" w:rsidRDefault="00C12F5A" w:rsidP="00C12F5A">
      <w:pPr>
        <w:spacing w:before="240" w:after="240" w:line="360" w:lineRule="auto"/>
        <w:jc w:val="both"/>
        <w:rPr>
          <w:rFonts w:ascii="Palatino Linotype" w:eastAsiaTheme="minorHAnsi" w:hAnsi="Palatino Linotype" w:cs="Arial"/>
          <w:bCs/>
          <w:lang w:val="es-MX" w:eastAsia="en-US"/>
        </w:rPr>
      </w:pPr>
      <w:r>
        <w:rPr>
          <w:rFonts w:ascii="Palatino Linotype" w:eastAsia="Times New Roman" w:hAnsi="Palatino Linotype" w:cs="Arial"/>
          <w:b/>
          <w:sz w:val="28"/>
          <w:lang w:val="es-MX" w:eastAsia="en-US"/>
        </w:rPr>
        <w:t>TERCERO.</w:t>
      </w:r>
      <w:r>
        <w:rPr>
          <w:rFonts w:ascii="Palatino Linotype" w:eastAsia="Times New Roman" w:hAnsi="Palatino Linotype" w:cs="Arial"/>
          <w:b/>
          <w:lang w:val="es-MX" w:eastAsia="en-US"/>
        </w:rPr>
        <w:t xml:space="preserve"> </w:t>
      </w:r>
      <w:r>
        <w:rPr>
          <w:rFonts w:ascii="Palatino Linotype" w:eastAsiaTheme="minorHAnsi" w:hAnsi="Palatino Linotype" w:cs="Arial"/>
          <w:b/>
          <w:lang w:val="es-MX" w:eastAsia="en-US"/>
        </w:rPr>
        <w:t>NOTIFÍQUESE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a la parte recurrente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C12F5A" w:rsidRDefault="00C12F5A" w:rsidP="00C12F5A">
      <w:pPr>
        <w:spacing w:before="240" w:after="240" w:line="360" w:lineRule="auto"/>
        <w:jc w:val="both"/>
        <w:rPr>
          <w:rFonts w:ascii="Palatino Linotype" w:hAnsi="Palatino Linotype" w:cs="Arial"/>
        </w:rPr>
      </w:pPr>
      <w:r>
        <w:rPr>
          <w:rFonts w:ascii="Palatino Linotype" w:hAnsi="Palatino Linotype" w:cs="Arial"/>
          <w:b/>
          <w:bCs/>
          <w:sz w:val="28"/>
        </w:rPr>
        <w:t>CUARTO.</w:t>
      </w:r>
      <w:r>
        <w:rPr>
          <w:rFonts w:ascii="Palatino Linotype" w:hAnsi="Palatino Linotype" w:cs="Arial"/>
          <w:b/>
          <w:bCs/>
        </w:rPr>
        <w:t xml:space="preserve"> GÍRESE</w:t>
      </w:r>
      <w:r>
        <w:rPr>
          <w:rFonts w:ascii="Palatino Linotype" w:hAnsi="Palatino Linotype" w:cs="Arial"/>
        </w:rPr>
        <w:t xml:space="preserve"> oficio al Contralor Interno de este Instituto para que actúe en razón de su competencia, en términos del considerando </w:t>
      </w:r>
      <w:r>
        <w:rPr>
          <w:rFonts w:ascii="Palatino Linotype" w:hAnsi="Palatino Linotype" w:cs="Arial"/>
          <w:b/>
        </w:rPr>
        <w:t>CUARTO</w:t>
      </w:r>
      <w:r>
        <w:rPr>
          <w:rFonts w:ascii="Palatino Linotype" w:hAnsi="Palatino Linotype" w:cs="Arial"/>
        </w:rPr>
        <w:t xml:space="preserve"> de la presente resolución.</w:t>
      </w:r>
    </w:p>
    <w:p w:rsidR="00C12F5A" w:rsidRDefault="00C12F5A" w:rsidP="00C12F5A">
      <w:pPr>
        <w:spacing w:before="240" w:after="240" w:line="360" w:lineRule="auto"/>
        <w:jc w:val="both"/>
        <w:rPr>
          <w:rFonts w:ascii="Palatino Linotype" w:hAnsi="Palatino Linotype" w:cs="Arial"/>
          <w:szCs w:val="25"/>
        </w:rPr>
      </w:pPr>
      <w:r>
        <w:rPr>
          <w:rFonts w:ascii="Palatino Linotype" w:hAnsi="Palatino Linotype" w:cs="Arial"/>
          <w:szCs w:val="25"/>
        </w:rPr>
        <w:t>ASÍ LO RESUELVE, POR UNANIMIDAD DE VOTOS</w:t>
      </w:r>
      <w:r w:rsidR="00A57FBC">
        <w:rPr>
          <w:rFonts w:ascii="Palatino Linotype" w:hAnsi="Palatino Linotype" w:cs="Arial"/>
          <w:szCs w:val="25"/>
        </w:rPr>
        <w:t xml:space="preserve"> DE LOS PRESENTES</w:t>
      </w:r>
      <w:r>
        <w:rPr>
          <w:rFonts w:ascii="Palatino Linotype" w:hAnsi="Palatino Linotype" w:cs="Arial"/>
          <w:szCs w:val="25"/>
        </w:rPr>
        <w:t>, EL PLENO DEL INSTITUTO DE TRANSPARENCIA, ACCESO A LA INFORMACIÓN PÚBLICA Y PROTECCIÓN DE DATOS PERSONALES DEL ESTADO DE MÉXICO Y MUNICIPIOS, CONFORMADO POR LOS COMISIONADOS ZULEMA MARTÍNEZ SÁNCHEZ, EVA ABAID YAPUR</w:t>
      </w:r>
      <w:r w:rsidR="00A57FBC">
        <w:rPr>
          <w:rFonts w:ascii="Palatino Linotype" w:hAnsi="Palatino Linotype" w:cs="Arial"/>
          <w:szCs w:val="25"/>
        </w:rPr>
        <w:t xml:space="preserve"> AUSENTE EN LA VOTACIÓN</w:t>
      </w:r>
      <w:r>
        <w:rPr>
          <w:rFonts w:ascii="Palatino Linotype" w:hAnsi="Palatino Linotype" w:cs="Arial"/>
          <w:szCs w:val="25"/>
        </w:rPr>
        <w:t xml:space="preserve">, JOSÉ GUADALUPE LUNA HERNÁNDEZ, JAVIER MARTÍNEZ CRUZ Y LUIS GUSTAVO PARRA NORIEGA, EN LA TRIGÉSIMA </w:t>
      </w:r>
      <w:r w:rsidR="009622D1">
        <w:rPr>
          <w:rFonts w:ascii="Palatino Linotype" w:hAnsi="Palatino Linotype" w:cs="Arial"/>
          <w:szCs w:val="25"/>
        </w:rPr>
        <w:t>QUINTA</w:t>
      </w:r>
      <w:r>
        <w:rPr>
          <w:rFonts w:ascii="Palatino Linotype" w:hAnsi="Palatino Linotype" w:cs="Arial"/>
          <w:szCs w:val="25"/>
        </w:rPr>
        <w:t xml:space="preserve"> SESIÓN </w:t>
      </w:r>
      <w:r w:rsidR="009622D1">
        <w:rPr>
          <w:rFonts w:ascii="Palatino Linotype" w:hAnsi="Palatino Linotype" w:cs="Arial"/>
          <w:szCs w:val="25"/>
        </w:rPr>
        <w:t>ORDINARIA CELEBRADA EL DÍA VEINTISÉIS</w:t>
      </w:r>
      <w:r>
        <w:rPr>
          <w:rFonts w:ascii="Palatino Linotype" w:hAnsi="Palatino Linotype" w:cs="Arial"/>
          <w:szCs w:val="25"/>
        </w:rPr>
        <w:t xml:space="preserve"> DE SEPTIEMBRE DE DOS MIL </w:t>
      </w:r>
      <w:r>
        <w:rPr>
          <w:rFonts w:ascii="Palatino Linotype" w:hAnsi="Palatino Linotype" w:cs="Arial"/>
          <w:szCs w:val="25"/>
        </w:rPr>
        <w:lastRenderedPageBreak/>
        <w:t xml:space="preserve">DIECIOCHO, ANTE EL SECRETARIO TÉCNICO DEL PLENO, ALEXIS TAPIA RAMÍREZ. </w:t>
      </w:r>
    </w:p>
    <w:p w:rsidR="00A57FBC" w:rsidRDefault="00A57FBC" w:rsidP="00C12F5A">
      <w:pPr>
        <w:spacing w:before="240" w:after="240" w:line="360" w:lineRule="auto"/>
        <w:jc w:val="both"/>
        <w:rPr>
          <w:rFonts w:ascii="Palatino Linotype" w:hAnsi="Palatino Linotype" w:cs="Arial"/>
          <w:szCs w:val="25"/>
        </w:rPr>
      </w:pPr>
    </w:p>
    <w:tbl>
      <w:tblPr>
        <w:tblW w:w="5000" w:type="pct"/>
        <w:jc w:val="center"/>
        <w:tblLook w:val="04A0" w:firstRow="1" w:lastRow="0" w:firstColumn="1" w:lastColumn="0" w:noHBand="0" w:noVBand="1"/>
      </w:tblPr>
      <w:tblGrid>
        <w:gridCol w:w="4216"/>
        <w:gridCol w:w="4622"/>
      </w:tblGrid>
      <w:tr w:rsidR="00C12F5A" w:rsidTr="0062678B">
        <w:trPr>
          <w:trHeight w:val="924"/>
          <w:jc w:val="center"/>
        </w:trPr>
        <w:tc>
          <w:tcPr>
            <w:tcW w:w="5000" w:type="pct"/>
            <w:gridSpan w:val="2"/>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Zulema Martínez Sánchez</w:t>
            </w:r>
          </w:p>
          <w:p w:rsidR="00C12F5A" w:rsidRDefault="00C12F5A" w:rsidP="0062678B">
            <w:pPr>
              <w:spacing w:line="252" w:lineRule="auto"/>
              <w:jc w:val="center"/>
              <w:rPr>
                <w:rFonts w:ascii="Palatino Linotype" w:hAnsi="Palatino Linotype" w:cs="Arial"/>
              </w:rPr>
            </w:pPr>
            <w:r>
              <w:rPr>
                <w:rFonts w:ascii="Palatino Linotype" w:hAnsi="Palatino Linotype" w:cs="Arial"/>
              </w:rPr>
              <w:t>Comisionada Presidenta</w:t>
            </w:r>
          </w:p>
          <w:p w:rsidR="00C12F5A" w:rsidRDefault="00C12F5A" w:rsidP="0062678B">
            <w:pPr>
              <w:spacing w:line="252" w:lineRule="auto"/>
              <w:jc w:val="center"/>
              <w:rPr>
                <w:rFonts w:ascii="Palatino Linotype" w:hAnsi="Palatino Linotype" w:cs="Arial"/>
              </w:rPr>
            </w:pPr>
            <w:r>
              <w:rPr>
                <w:rFonts w:ascii="Palatino Linotype" w:hAnsi="Palatino Linotype" w:cs="Arial"/>
              </w:rPr>
              <w:t>(Rúbrica)</w:t>
            </w:r>
          </w:p>
          <w:p w:rsidR="00C12F5A" w:rsidRDefault="00C12F5A" w:rsidP="0062678B">
            <w:pPr>
              <w:spacing w:line="360" w:lineRule="auto"/>
              <w:rPr>
                <w:rFonts w:ascii="Palatino Linotype" w:hAnsi="Palatino Linotype" w:cs="Arial"/>
              </w:rPr>
            </w:pPr>
          </w:p>
          <w:p w:rsidR="00C12F5A" w:rsidRDefault="00C12F5A" w:rsidP="0062678B">
            <w:pPr>
              <w:spacing w:line="360" w:lineRule="auto"/>
              <w:rPr>
                <w:rFonts w:ascii="Palatino Linotype" w:hAnsi="Palatino Linotype" w:cs="Arial"/>
              </w:rPr>
            </w:pPr>
          </w:p>
          <w:p w:rsidR="00C12F5A" w:rsidRDefault="00C12F5A" w:rsidP="0062678B">
            <w:pPr>
              <w:spacing w:line="360" w:lineRule="auto"/>
              <w:rPr>
                <w:rFonts w:ascii="Palatino Linotype" w:hAnsi="Palatino Linotype" w:cs="Arial"/>
              </w:rPr>
            </w:pPr>
          </w:p>
        </w:tc>
      </w:tr>
      <w:tr w:rsidR="00C12F5A" w:rsidTr="0062678B">
        <w:trPr>
          <w:trHeight w:val="902"/>
          <w:jc w:val="center"/>
        </w:trPr>
        <w:tc>
          <w:tcPr>
            <w:tcW w:w="2385" w:type="pct"/>
            <w:hideMark/>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Eva Abaid Yapur</w:t>
            </w:r>
          </w:p>
          <w:p w:rsidR="00C12F5A" w:rsidRDefault="00C12F5A" w:rsidP="0062678B">
            <w:pPr>
              <w:spacing w:line="252" w:lineRule="auto"/>
              <w:jc w:val="center"/>
              <w:rPr>
                <w:rFonts w:ascii="Palatino Linotype" w:hAnsi="Palatino Linotype" w:cs="Arial"/>
              </w:rPr>
            </w:pPr>
            <w:r>
              <w:rPr>
                <w:rFonts w:ascii="Palatino Linotype" w:hAnsi="Palatino Linotype" w:cs="Arial"/>
              </w:rPr>
              <w:t>Comisionada</w:t>
            </w:r>
          </w:p>
          <w:p w:rsidR="00C12F5A" w:rsidRDefault="00A57FBC" w:rsidP="0062678B">
            <w:pPr>
              <w:spacing w:line="252" w:lineRule="auto"/>
              <w:jc w:val="center"/>
              <w:rPr>
                <w:rFonts w:ascii="Palatino Linotype" w:hAnsi="Palatino Linotype" w:cs="Arial"/>
              </w:rPr>
            </w:pPr>
            <w:r>
              <w:rPr>
                <w:rFonts w:ascii="Palatino Linotype" w:hAnsi="Palatino Linotype" w:cs="Arial"/>
              </w:rPr>
              <w:t>(Ausente en la votación</w:t>
            </w:r>
            <w:r w:rsidR="00C12F5A">
              <w:rPr>
                <w:rFonts w:ascii="Palatino Linotype" w:hAnsi="Palatino Linotype" w:cs="Arial"/>
              </w:rPr>
              <w:t>)</w:t>
            </w:r>
          </w:p>
        </w:tc>
        <w:tc>
          <w:tcPr>
            <w:tcW w:w="2615" w:type="pct"/>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José Guadalupe Luna Hernández</w:t>
            </w:r>
          </w:p>
          <w:p w:rsidR="00C12F5A" w:rsidRDefault="00C12F5A" w:rsidP="0062678B">
            <w:pPr>
              <w:spacing w:line="252" w:lineRule="auto"/>
              <w:jc w:val="center"/>
              <w:rPr>
                <w:rFonts w:ascii="Palatino Linotype" w:hAnsi="Palatino Linotype" w:cs="Arial"/>
              </w:rPr>
            </w:pPr>
            <w:r>
              <w:rPr>
                <w:rFonts w:ascii="Palatino Linotype" w:hAnsi="Palatino Linotype" w:cs="Arial"/>
              </w:rPr>
              <w:t>Comisionado</w:t>
            </w:r>
          </w:p>
          <w:p w:rsidR="00C12F5A" w:rsidRDefault="00C12F5A" w:rsidP="0062678B">
            <w:pPr>
              <w:spacing w:line="252" w:lineRule="auto"/>
              <w:jc w:val="center"/>
              <w:rPr>
                <w:rFonts w:ascii="Palatino Linotype" w:hAnsi="Palatino Linotype" w:cs="Arial"/>
              </w:rPr>
            </w:pPr>
            <w:r>
              <w:rPr>
                <w:rFonts w:ascii="Palatino Linotype" w:hAnsi="Palatino Linotype" w:cs="Arial"/>
              </w:rPr>
              <w:t>(Rúbrica)</w:t>
            </w:r>
          </w:p>
          <w:p w:rsidR="00C12F5A" w:rsidRDefault="00C12F5A"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p w:rsidR="00A57FBC" w:rsidRDefault="00A57FBC"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tc>
      </w:tr>
      <w:tr w:rsidR="00C12F5A" w:rsidTr="0062678B">
        <w:trPr>
          <w:trHeight w:val="902"/>
          <w:jc w:val="center"/>
        </w:trPr>
        <w:tc>
          <w:tcPr>
            <w:tcW w:w="2385" w:type="pct"/>
            <w:hideMark/>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Javier Martínez Cruz</w:t>
            </w:r>
          </w:p>
          <w:p w:rsidR="00C12F5A" w:rsidRDefault="00C12F5A" w:rsidP="0062678B">
            <w:pPr>
              <w:spacing w:line="252" w:lineRule="auto"/>
              <w:jc w:val="center"/>
              <w:rPr>
                <w:rFonts w:ascii="Palatino Linotype" w:hAnsi="Palatino Linotype" w:cs="Arial"/>
              </w:rPr>
            </w:pPr>
            <w:r>
              <w:rPr>
                <w:rFonts w:ascii="Palatino Linotype" w:hAnsi="Palatino Linotype" w:cs="Arial"/>
              </w:rPr>
              <w:t>Comisionado</w:t>
            </w:r>
          </w:p>
          <w:p w:rsidR="00C12F5A" w:rsidRDefault="00C12F5A" w:rsidP="0062678B">
            <w:pPr>
              <w:spacing w:line="252" w:lineRule="auto"/>
              <w:jc w:val="center"/>
              <w:rPr>
                <w:rFonts w:ascii="Palatino Linotype" w:hAnsi="Palatino Linotype" w:cs="Arial"/>
              </w:rPr>
            </w:pPr>
            <w:r>
              <w:rPr>
                <w:rFonts w:ascii="Palatino Linotype" w:hAnsi="Palatino Linotype" w:cs="Arial"/>
              </w:rPr>
              <w:t>(Rúbrica)</w:t>
            </w:r>
          </w:p>
        </w:tc>
        <w:tc>
          <w:tcPr>
            <w:tcW w:w="2615" w:type="pct"/>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Luis Gustavo Parra Noriega</w:t>
            </w:r>
          </w:p>
          <w:p w:rsidR="00C12F5A" w:rsidRDefault="00C12F5A" w:rsidP="0062678B">
            <w:pPr>
              <w:spacing w:line="252" w:lineRule="auto"/>
              <w:jc w:val="center"/>
              <w:rPr>
                <w:rFonts w:ascii="Palatino Linotype" w:hAnsi="Palatino Linotype" w:cs="Arial"/>
              </w:rPr>
            </w:pPr>
            <w:r>
              <w:rPr>
                <w:rFonts w:ascii="Palatino Linotype" w:hAnsi="Palatino Linotype" w:cs="Arial"/>
              </w:rPr>
              <w:t>Comisionado</w:t>
            </w:r>
          </w:p>
          <w:p w:rsidR="00C12F5A" w:rsidRDefault="00C12F5A" w:rsidP="0062678B">
            <w:pPr>
              <w:spacing w:line="252" w:lineRule="auto"/>
              <w:jc w:val="center"/>
              <w:rPr>
                <w:rFonts w:ascii="Palatino Linotype" w:hAnsi="Palatino Linotype" w:cs="Arial"/>
              </w:rPr>
            </w:pPr>
            <w:r>
              <w:rPr>
                <w:rFonts w:ascii="Palatino Linotype" w:hAnsi="Palatino Linotype" w:cs="Arial"/>
              </w:rPr>
              <w:t>(Rúbrica)</w:t>
            </w:r>
          </w:p>
          <w:p w:rsidR="00C12F5A" w:rsidRDefault="00C12F5A"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p w:rsidR="00C12F5A" w:rsidRDefault="00C12F5A" w:rsidP="0062678B">
            <w:pPr>
              <w:spacing w:line="252" w:lineRule="auto"/>
              <w:rPr>
                <w:rFonts w:ascii="Palatino Linotype" w:hAnsi="Palatino Linotype" w:cs="Arial"/>
              </w:rPr>
            </w:pPr>
          </w:p>
        </w:tc>
      </w:tr>
      <w:tr w:rsidR="00C12F5A" w:rsidTr="0062678B">
        <w:trPr>
          <w:jc w:val="center"/>
        </w:trPr>
        <w:tc>
          <w:tcPr>
            <w:tcW w:w="5000" w:type="pct"/>
            <w:gridSpan w:val="2"/>
            <w:hideMark/>
          </w:tcPr>
          <w:p w:rsidR="00C12F5A" w:rsidRDefault="00C12F5A" w:rsidP="0062678B">
            <w:pPr>
              <w:spacing w:line="252" w:lineRule="auto"/>
              <w:jc w:val="center"/>
              <w:rPr>
                <w:rFonts w:ascii="Palatino Linotype" w:hAnsi="Palatino Linotype" w:cs="Arial"/>
                <w:b/>
              </w:rPr>
            </w:pPr>
            <w:r>
              <w:rPr>
                <w:rFonts w:ascii="Palatino Linotype" w:hAnsi="Palatino Linotype" w:cs="Arial"/>
                <w:b/>
              </w:rPr>
              <w:t xml:space="preserve">      Alexis Tapia Ramírez</w:t>
            </w:r>
          </w:p>
          <w:p w:rsidR="00C12F5A" w:rsidRDefault="00C12F5A" w:rsidP="0062678B">
            <w:pPr>
              <w:tabs>
                <w:tab w:val="left" w:pos="780"/>
                <w:tab w:val="center" w:pos="4499"/>
              </w:tabs>
              <w:spacing w:line="252" w:lineRule="auto"/>
              <w:rPr>
                <w:rFonts w:ascii="Palatino Linotype" w:hAnsi="Palatino Linotype" w:cs="Arial"/>
              </w:rPr>
            </w:pPr>
            <w:r>
              <w:rPr>
                <w:rFonts w:ascii="Palatino Linotype" w:hAnsi="Palatino Linotype" w:cs="Arial"/>
              </w:rPr>
              <w:tab/>
            </w:r>
            <w:r>
              <w:rPr>
                <w:rFonts w:ascii="Palatino Linotype" w:hAnsi="Palatino Linotype" w:cs="Arial"/>
              </w:rPr>
              <w:tab/>
              <w:t>Secretario Técnico del Pleno</w:t>
            </w:r>
          </w:p>
          <w:p w:rsidR="00C12F5A" w:rsidRDefault="00C12F5A" w:rsidP="0062678B">
            <w:pPr>
              <w:spacing w:line="252" w:lineRule="auto"/>
              <w:jc w:val="center"/>
              <w:rPr>
                <w:rFonts w:ascii="Palatino Linotype" w:hAnsi="Palatino Linotype" w:cs="Arial"/>
              </w:rPr>
            </w:pPr>
            <w:r>
              <w:rPr>
                <w:rFonts w:ascii="Palatino Linotype" w:hAnsi="Palatino Linotype" w:cs="Arial"/>
              </w:rPr>
              <w:t>(Rúbrica)</w:t>
            </w:r>
          </w:p>
        </w:tc>
      </w:tr>
    </w:tbl>
    <w:p w:rsidR="00E47452" w:rsidRDefault="00C12F5A" w:rsidP="00854296">
      <w:pPr>
        <w:spacing w:before="100" w:beforeAutospacing="1" w:after="100" w:afterAutospacing="1" w:line="360" w:lineRule="auto"/>
        <w:jc w:val="both"/>
      </w:pPr>
      <w:r>
        <w:rPr>
          <w:rFonts w:ascii="Palatino Linotype" w:hAnsi="Palatino Linotype" w:cs="Arial"/>
          <w:sz w:val="20"/>
          <w:szCs w:val="20"/>
        </w:rPr>
        <w:t xml:space="preserve">Esta hoja corresponde a la resolución de fecha </w:t>
      </w:r>
      <w:r w:rsidR="009622D1">
        <w:rPr>
          <w:rFonts w:ascii="Palatino Linotype" w:hAnsi="Palatino Linotype" w:cs="Arial"/>
          <w:sz w:val="20"/>
          <w:szCs w:val="20"/>
        </w:rPr>
        <w:t xml:space="preserve">veintiséis </w:t>
      </w:r>
      <w:r>
        <w:rPr>
          <w:rFonts w:ascii="Palatino Linotype" w:hAnsi="Palatino Linotype" w:cs="Arial"/>
          <w:sz w:val="20"/>
          <w:szCs w:val="20"/>
        </w:rPr>
        <w:t xml:space="preserve">de septiembre de dos mil dieciocho, emitida en el recurso de revisión </w:t>
      </w:r>
      <w:r w:rsidR="009622D1">
        <w:rPr>
          <w:rFonts w:ascii="Palatino Linotype" w:hAnsi="Palatino Linotype" w:cs="Arial"/>
          <w:b/>
          <w:bCs/>
          <w:sz w:val="20"/>
          <w:szCs w:val="20"/>
        </w:rPr>
        <w:t>02836</w:t>
      </w:r>
      <w:r>
        <w:rPr>
          <w:rFonts w:ascii="Palatino Linotype" w:hAnsi="Palatino Linotype" w:cs="Arial"/>
          <w:b/>
          <w:bCs/>
          <w:sz w:val="20"/>
          <w:szCs w:val="20"/>
        </w:rPr>
        <w:t>/INFOEM/IP/RR/2018</w:t>
      </w:r>
      <w:r>
        <w:rPr>
          <w:rFonts w:ascii="Palatino Linotype" w:hAnsi="Palatino Linotype" w:cs="Arial"/>
          <w:bCs/>
          <w:sz w:val="20"/>
          <w:szCs w:val="20"/>
        </w:rPr>
        <w:t>.</w:t>
      </w:r>
    </w:p>
    <w:sectPr w:rsidR="00E47452" w:rsidSect="00EA5236">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C1" w:rsidRDefault="00E26AC1" w:rsidP="00C12F5A">
      <w:r>
        <w:separator/>
      </w:r>
    </w:p>
  </w:endnote>
  <w:endnote w:type="continuationSeparator" w:id="0">
    <w:p w:rsidR="00E26AC1" w:rsidRDefault="00E26AC1" w:rsidP="00C12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236" w:rsidRDefault="00EA5236" w:rsidP="00EA5236">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44BD6">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44BD6">
      <w:rPr>
        <w:rFonts w:ascii="Arial" w:hAnsi="Arial" w:cs="Arial"/>
        <w:b/>
        <w:bCs/>
        <w:noProof/>
        <w:sz w:val="20"/>
        <w:szCs w:val="20"/>
      </w:rPr>
      <w:t>32</w:t>
    </w:r>
    <w:r>
      <w:rPr>
        <w:rFonts w:ascii="Arial" w:hAnsi="Arial" w:cs="Arial"/>
        <w:b/>
        <w:bCs/>
        <w:sz w:val="20"/>
        <w:szCs w:val="20"/>
      </w:rPr>
      <w:fldChar w:fldCharType="end"/>
    </w:r>
  </w:p>
  <w:p w:rsidR="00EA5236" w:rsidRDefault="00EA52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236" w:rsidRDefault="00EA5236" w:rsidP="00EA5236">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44BD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44BD6">
      <w:rPr>
        <w:rFonts w:ascii="Arial" w:hAnsi="Arial" w:cs="Arial"/>
        <w:b/>
        <w:bCs/>
        <w:noProof/>
        <w:sz w:val="20"/>
        <w:szCs w:val="20"/>
      </w:rPr>
      <w:t>32</w:t>
    </w:r>
    <w:r>
      <w:rPr>
        <w:rFonts w:ascii="Arial" w:hAnsi="Arial" w:cs="Arial"/>
        <w:b/>
        <w:bCs/>
        <w:sz w:val="20"/>
        <w:szCs w:val="20"/>
      </w:rPr>
      <w:fldChar w:fldCharType="end"/>
    </w:r>
  </w:p>
  <w:p w:rsidR="00EA5236" w:rsidRDefault="00EA52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C1" w:rsidRDefault="00E26AC1" w:rsidP="00C12F5A">
      <w:r>
        <w:separator/>
      </w:r>
    </w:p>
  </w:footnote>
  <w:footnote w:type="continuationSeparator" w:id="0">
    <w:p w:rsidR="00E26AC1" w:rsidRDefault="00E26AC1" w:rsidP="00C12F5A">
      <w:r>
        <w:continuationSeparator/>
      </w:r>
    </w:p>
  </w:footnote>
  <w:footnote w:id="1">
    <w:p w:rsidR="00C12F5A" w:rsidRPr="00694175" w:rsidRDefault="00C12F5A" w:rsidP="00C12F5A">
      <w:pPr>
        <w:pStyle w:val="Textonotapie"/>
        <w:rPr>
          <w:rFonts w:ascii="Palatino Linotype" w:hAnsi="Palatino Linotype"/>
          <w:lang w:val="es-MX"/>
        </w:rPr>
      </w:pPr>
      <w:r>
        <w:rPr>
          <w:rStyle w:val="Refdenotaalpie"/>
        </w:rPr>
        <w:footnoteRef/>
      </w:r>
      <w:r>
        <w:t xml:space="preserve"> </w:t>
      </w:r>
      <w:r w:rsidRPr="00694175">
        <w:rPr>
          <w:rFonts w:ascii="Palatino Linotype" w:hAnsi="Palatino Linotype"/>
          <w:lang w:val="es-MX"/>
        </w:rPr>
        <w:t>Ley de Transparencia y Acceso a la Información Pública del Est</w:t>
      </w:r>
      <w:r>
        <w:rPr>
          <w:rFonts w:ascii="Palatino Linotype" w:hAnsi="Palatino Linotype"/>
          <w:lang w:val="es-MX"/>
        </w:rPr>
        <w:t>ado de México y Municipios (2018</w:t>
      </w:r>
      <w:r w:rsidRPr="00694175">
        <w:rPr>
          <w:rFonts w:ascii="Palatino Linotype" w:hAnsi="Palatino Linotype"/>
          <w:lang w:val="es-MX"/>
        </w:rPr>
        <w:t>)</w:t>
      </w:r>
    </w:p>
  </w:footnote>
  <w:footnote w:id="2">
    <w:p w:rsidR="009C1136" w:rsidRPr="009C1136" w:rsidRDefault="009C1136" w:rsidP="009C1136">
      <w:pPr>
        <w:pStyle w:val="Textonotapie"/>
        <w:jc w:val="both"/>
        <w:rPr>
          <w:lang w:val="es-MX"/>
        </w:rPr>
      </w:pPr>
      <w:r w:rsidRPr="009C1136">
        <w:rPr>
          <w:rStyle w:val="Refdenotaalpie"/>
          <w:sz w:val="18"/>
        </w:rPr>
        <w:footnoteRef/>
      </w:r>
      <w:r w:rsidRPr="009C1136">
        <w:rPr>
          <w:sz w:val="18"/>
        </w:rPr>
        <w:t xml:space="preserve"> </w:t>
      </w:r>
      <w:r>
        <w:rPr>
          <w:sz w:val="18"/>
          <w:lang w:val="es-MX"/>
        </w:rPr>
        <w:t>Imágene</w:t>
      </w:r>
      <w:r w:rsidRPr="009C1136">
        <w:rPr>
          <w:sz w:val="18"/>
          <w:lang w:val="es-MX"/>
        </w:rPr>
        <w:t>s tomadas del PREP, que se pueden consultar en http://www.ieem.org.mx/prep2018/ayuntamientos/Entidad/02_detalleCandidato/index.html</w:t>
      </w:r>
    </w:p>
  </w:footnote>
  <w:footnote w:id="3">
    <w:p w:rsidR="00854296" w:rsidRDefault="00854296" w:rsidP="00854296">
      <w:pPr>
        <w:ind w:right="49"/>
        <w:jc w:val="both"/>
        <w:rPr>
          <w:rFonts w:ascii="Palatino Linotype" w:eastAsiaTheme="minorHAnsi" w:hAnsi="Palatino Linotype" w:cs="Arial"/>
          <w:bCs/>
          <w:noProof/>
          <w:sz w:val="20"/>
          <w:szCs w:val="20"/>
          <w:lang w:eastAsia="en-US"/>
        </w:rPr>
      </w:pPr>
      <w:r>
        <w:rPr>
          <w:rStyle w:val="Refdenotaalpie"/>
        </w:rPr>
        <w:footnoteRef/>
      </w:r>
      <w:r>
        <w:t xml:space="preserve"> </w:t>
      </w:r>
      <w:r>
        <w:rPr>
          <w:rFonts w:ascii="Palatino Linotype" w:hAnsi="Palatino Linotype" w:cs="Arial"/>
          <w:bCs/>
          <w:noProof/>
          <w:sz w:val="20"/>
          <w:szCs w:val="20"/>
        </w:rPr>
        <w:t xml:space="preserve">Artículo 17-G.- Los certificados que emita el Servicio de Administración Tributaria para ser considerados válidos deberán contener los datos siguientes: </w:t>
      </w:r>
    </w:p>
    <w:p w:rsidR="00854296" w:rsidRDefault="00854296" w:rsidP="00854296">
      <w:pPr>
        <w:ind w:right="49"/>
        <w:jc w:val="both"/>
        <w:rPr>
          <w:rFonts w:ascii="Palatino Linotype" w:hAnsi="Palatino Linotype" w:cs="Arial"/>
          <w:bCs/>
          <w:noProof/>
          <w:sz w:val="20"/>
          <w:szCs w:val="20"/>
        </w:rPr>
      </w:pPr>
      <w:r>
        <w:rPr>
          <w:rFonts w:ascii="Palatino Linotype" w:hAnsi="Palatino Linotype" w:cs="Arial"/>
          <w:bCs/>
          <w:noProof/>
          <w:sz w:val="20"/>
          <w:szCs w:val="20"/>
        </w:rPr>
        <w:t>I. La mención de que se expiden como tales. Tratándose de certificados de sellos digitales, se deberán especificar las limitantes que tengan para su uso.</w:t>
      </w:r>
    </w:p>
    <w:p w:rsidR="00854296" w:rsidRDefault="00854296" w:rsidP="00854296">
      <w:pPr>
        <w:ind w:right="49"/>
        <w:jc w:val="both"/>
        <w:rPr>
          <w:rFonts w:ascii="Palatino Linotype" w:hAnsi="Palatino Linotype" w:cs="Arial"/>
          <w:bCs/>
          <w:noProof/>
          <w:sz w:val="20"/>
          <w:szCs w:val="20"/>
        </w:rPr>
      </w:pPr>
      <w:r>
        <w:rPr>
          <w:rFonts w:ascii="Palatino Linotype" w:hAnsi="Palatino Linotype" w:cs="Arial"/>
          <w:bCs/>
          <w:noProof/>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854296" w:rsidRDefault="00854296" w:rsidP="00854296">
      <w:pPr>
        <w:ind w:right="49"/>
        <w:jc w:val="both"/>
        <w:rPr>
          <w:rFonts w:ascii="Palatino Linotype" w:hAnsi="Palatino Linotype" w:cs="Arial"/>
          <w:bCs/>
          <w:noProof/>
          <w:sz w:val="20"/>
          <w:szCs w:val="20"/>
        </w:rPr>
      </w:pPr>
      <w:r>
        <w:rPr>
          <w:rFonts w:ascii="Palatino Linotype" w:hAnsi="Palatino Linotype" w:cs="Arial"/>
          <w:bCs/>
          <w:noProof/>
          <w:sz w:val="20"/>
          <w:szCs w:val="20"/>
        </w:rPr>
        <w:t>Los contribuyentes a que se refiere el párrafo anterior deberán cumplir con las obligaciones siguientes:</w:t>
      </w:r>
    </w:p>
    <w:p w:rsidR="00854296" w:rsidRDefault="00854296" w:rsidP="00854296">
      <w:pPr>
        <w:ind w:right="49"/>
        <w:jc w:val="both"/>
        <w:rPr>
          <w:rFonts w:ascii="Palatino Linotype" w:hAnsi="Palatino Linotype" w:cs="Arial"/>
          <w:bCs/>
          <w:noProof/>
          <w:sz w:val="20"/>
          <w:szCs w:val="20"/>
        </w:rPr>
      </w:pPr>
      <w:r>
        <w:rPr>
          <w:rFonts w:ascii="Palatino Linotype" w:hAnsi="Palatino Linotype" w:cs="Arial"/>
          <w:bCs/>
          <w:noProof/>
          <w:sz w:val="20"/>
          <w:szCs w:val="20"/>
        </w:rPr>
        <w:t xml:space="preserve">I. </w:t>
      </w:r>
      <w:r>
        <w:rPr>
          <w:rFonts w:ascii="Palatino Linotype" w:hAnsi="Palatino Linotype" w:cs="Arial"/>
          <w:bCs/>
          <w:noProof/>
          <w:sz w:val="20"/>
          <w:szCs w:val="20"/>
        </w:rPr>
        <w:tab/>
        <w:t>…</w:t>
      </w:r>
    </w:p>
    <w:p w:rsidR="00854296" w:rsidRDefault="00854296" w:rsidP="00854296">
      <w:pPr>
        <w:ind w:right="49"/>
        <w:jc w:val="both"/>
        <w:rPr>
          <w:rFonts w:ascii="Palatino Linotype" w:hAnsi="Palatino Linotype" w:cs="Arial"/>
          <w:bCs/>
          <w:noProof/>
          <w:sz w:val="20"/>
          <w:szCs w:val="20"/>
        </w:rPr>
      </w:pPr>
      <w:r>
        <w:rPr>
          <w:rFonts w:ascii="Palatino Linotype" w:hAnsi="Palatino Linotype" w:cs="Arial"/>
          <w:bCs/>
          <w:noProof/>
          <w:sz w:val="20"/>
          <w:szCs w:val="20"/>
        </w:rPr>
        <w:t xml:space="preserve">II. </w:t>
      </w:r>
      <w:r>
        <w:rPr>
          <w:rFonts w:ascii="Palatino Linotype" w:hAnsi="Palatino Linotype" w:cs="Arial"/>
          <w:bCs/>
          <w:noProof/>
          <w:sz w:val="20"/>
          <w:szCs w:val="20"/>
        </w:rPr>
        <w:tab/>
        <w:t>Tramitar ante el Servicio de Administración Tributaria el certificado para el uso de los sellos digitales.</w:t>
      </w:r>
    </w:p>
    <w:p w:rsidR="00854296" w:rsidRDefault="00854296" w:rsidP="00854296">
      <w:pPr>
        <w:pStyle w:val="Textonotapie"/>
        <w:ind w:right="49"/>
        <w:jc w:val="both"/>
      </w:pPr>
      <w:r>
        <w:rPr>
          <w:rFonts w:ascii="Palatino Linotype" w:hAnsi="Palatino Linotype" w:cs="Arial"/>
          <w:bCs/>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0"/>
      <w:gridCol w:w="3650"/>
    </w:tblGrid>
    <w:tr w:rsidR="00EA5236" w:rsidTr="004C351E">
      <w:trPr>
        <w:trHeight w:val="137"/>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rPr>
          </w:pPr>
          <w:r>
            <w:rPr>
              <w:rFonts w:ascii="Palatino Linotype" w:hAnsi="Palatino Linotype"/>
              <w:b/>
            </w:rPr>
            <w:t>Recurso de Revisión:</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b/>
            </w:rPr>
          </w:pPr>
          <w:r>
            <w:rPr>
              <w:rFonts w:ascii="Palatino Linotype" w:hAnsi="Palatino Linotype" w:cs="Arial"/>
              <w:b/>
              <w:bCs/>
              <w:lang w:eastAsia="es-MX"/>
            </w:rPr>
            <w:t xml:space="preserve">02836/INFOEM/IP/RR/2018 </w:t>
          </w:r>
        </w:p>
      </w:tc>
    </w:tr>
    <w:tr w:rsidR="00EA5236" w:rsidTr="004C351E">
      <w:trPr>
        <w:trHeight w:val="230"/>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rPr>
          </w:pPr>
          <w:r>
            <w:rPr>
              <w:rFonts w:ascii="Palatino Linotype" w:hAnsi="Palatino Linotype"/>
              <w:b/>
            </w:rPr>
            <w:t>Sujeto Obligado:</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b/>
            </w:rPr>
          </w:pPr>
          <w:r>
            <w:rPr>
              <w:rFonts w:ascii="Palatino Linotype" w:hAnsi="Palatino Linotype" w:cs="Arial"/>
              <w:b/>
            </w:rPr>
            <w:t>Partido Morena</w:t>
          </w:r>
        </w:p>
      </w:tc>
    </w:tr>
    <w:tr w:rsidR="00EA5236" w:rsidTr="004C351E">
      <w:trPr>
        <w:trHeight w:val="318"/>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highlight w:val="yellow"/>
            </w:rPr>
          </w:pPr>
          <w:r>
            <w:rPr>
              <w:rFonts w:ascii="Palatino Linotype" w:hAnsi="Palatino Linotype"/>
              <w:b/>
            </w:rPr>
            <w:t>Comisionado Ponente:</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EA5236" w:rsidRDefault="00EA5236" w:rsidP="00EA5236">
    <w:pPr>
      <w:tabs>
        <w:tab w:val="center" w:pos="4419"/>
        <w:tab w:val="right" w:pos="8838"/>
      </w:tabs>
    </w:pPr>
  </w:p>
  <w:p w:rsidR="00EA5236" w:rsidRDefault="00EA5236" w:rsidP="00EA5236">
    <w:pPr>
      <w:tabs>
        <w:tab w:val="center" w:pos="4419"/>
        <w:tab w:val="right" w:pos="8838"/>
      </w:tabs>
    </w:pPr>
  </w:p>
  <w:p w:rsidR="00EA5236" w:rsidRDefault="00EA52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8"/>
      <w:gridCol w:w="3648"/>
    </w:tblGrid>
    <w:tr w:rsidR="00EA5236" w:rsidTr="004C351E">
      <w:trPr>
        <w:trHeight w:val="137"/>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rPr>
          </w:pPr>
          <w:r>
            <w:rPr>
              <w:rFonts w:ascii="Palatino Linotype" w:hAnsi="Palatino Linotype"/>
              <w:b/>
            </w:rPr>
            <w:t>Recurso de Revisión:</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cs="Arial"/>
              <w:b/>
              <w:bCs/>
              <w:lang w:eastAsia="es-MX"/>
            </w:rPr>
          </w:pPr>
          <w:r>
            <w:rPr>
              <w:rFonts w:ascii="Palatino Linotype" w:hAnsi="Palatino Linotype" w:cs="Arial"/>
              <w:b/>
              <w:bCs/>
              <w:lang w:eastAsia="es-MX"/>
            </w:rPr>
            <w:t>02836/INFOEM/IP/RR/2018</w:t>
          </w:r>
        </w:p>
      </w:tc>
    </w:tr>
    <w:tr w:rsidR="00EA5236" w:rsidTr="004C351E">
      <w:trPr>
        <w:trHeight w:val="225"/>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rPr>
          </w:pPr>
          <w:r>
            <w:rPr>
              <w:rFonts w:ascii="Palatino Linotype" w:hAnsi="Palatino Linotype"/>
              <w:b/>
            </w:rPr>
            <w:t>Recurrente: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44BD6" w:rsidP="00EA5236">
          <w:pPr>
            <w:tabs>
              <w:tab w:val="center" w:pos="4252"/>
              <w:tab w:val="right" w:pos="8504"/>
            </w:tabs>
            <w:jc w:val="both"/>
            <w:rPr>
              <w:rFonts w:ascii="Palatino Linotype" w:hAnsi="Palatino Linotype"/>
              <w:b/>
            </w:rPr>
          </w:pPr>
          <w:r>
            <w:rPr>
              <w:rFonts w:ascii="Palatino Linotype" w:hAnsi="Palatino Linotype"/>
              <w:b/>
              <w:szCs w:val="22"/>
            </w:rPr>
            <w:t>Xxxxx Xxxxxx Xxxxxx</w:t>
          </w:r>
        </w:p>
      </w:tc>
    </w:tr>
    <w:tr w:rsidR="00EA5236" w:rsidTr="004C351E">
      <w:trPr>
        <w:trHeight w:val="230"/>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rPr>
          </w:pPr>
          <w:r>
            <w:rPr>
              <w:rFonts w:ascii="Palatino Linotype" w:hAnsi="Palatino Linotype"/>
              <w:b/>
            </w:rPr>
            <w:t>Sujeto Obligado:</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b/>
            </w:rPr>
          </w:pPr>
          <w:r>
            <w:rPr>
              <w:rFonts w:ascii="Palatino Linotype" w:hAnsi="Palatino Linotype" w:cs="Arial"/>
              <w:b/>
              <w:bCs/>
            </w:rPr>
            <w:t>Partido Morena</w:t>
          </w:r>
        </w:p>
      </w:tc>
    </w:tr>
    <w:tr w:rsidR="00EA5236" w:rsidTr="004C351E">
      <w:trPr>
        <w:trHeight w:val="318"/>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rPr>
              <w:rFonts w:ascii="Palatino Linotype" w:hAnsi="Palatino Linotype"/>
              <w:b/>
              <w:highlight w:val="yellow"/>
            </w:rPr>
          </w:pPr>
          <w:r>
            <w:rPr>
              <w:rFonts w:ascii="Palatino Linotype" w:hAnsi="Palatino Linotype"/>
              <w:b/>
            </w:rPr>
            <w:t>Comisionado Ponente: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A5236" w:rsidRDefault="00EA5236" w:rsidP="00EA5236">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EA5236" w:rsidRDefault="00EA5236" w:rsidP="00EA5236">
    <w:pPr>
      <w:tabs>
        <w:tab w:val="center" w:pos="4419"/>
        <w:tab w:val="right" w:pos="8838"/>
      </w:tabs>
    </w:pPr>
  </w:p>
  <w:p w:rsidR="00EA5236" w:rsidRDefault="00EA5236" w:rsidP="00EA5236">
    <w:pPr>
      <w:pStyle w:val="Encabezado"/>
    </w:pPr>
  </w:p>
  <w:p w:rsidR="00EA5236" w:rsidRDefault="00EA52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1F19"/>
    <w:multiLevelType w:val="hybridMultilevel"/>
    <w:tmpl w:val="539E579A"/>
    <w:lvl w:ilvl="0" w:tplc="0100A72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96A99"/>
    <w:multiLevelType w:val="hybridMultilevel"/>
    <w:tmpl w:val="876CC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726E5F"/>
    <w:multiLevelType w:val="hybridMultilevel"/>
    <w:tmpl w:val="FCE0A4E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9C1AE6"/>
    <w:multiLevelType w:val="hybridMultilevel"/>
    <w:tmpl w:val="49C0A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C97725"/>
    <w:multiLevelType w:val="hybridMultilevel"/>
    <w:tmpl w:val="142C4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B62D5F"/>
    <w:multiLevelType w:val="hybridMultilevel"/>
    <w:tmpl w:val="1278DABC"/>
    <w:lvl w:ilvl="0" w:tplc="F52AF9C4">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E7E"/>
    <w:rsid w:val="00021CB3"/>
    <w:rsid w:val="0003045D"/>
    <w:rsid w:val="000C0E7E"/>
    <w:rsid w:val="00135DC4"/>
    <w:rsid w:val="00154B81"/>
    <w:rsid w:val="00160DF9"/>
    <w:rsid w:val="00231551"/>
    <w:rsid w:val="002C077E"/>
    <w:rsid w:val="00342261"/>
    <w:rsid w:val="004810D0"/>
    <w:rsid w:val="004F2C48"/>
    <w:rsid w:val="005300A7"/>
    <w:rsid w:val="005F7530"/>
    <w:rsid w:val="0060125A"/>
    <w:rsid w:val="006E042E"/>
    <w:rsid w:val="007B1D71"/>
    <w:rsid w:val="008229AB"/>
    <w:rsid w:val="00854296"/>
    <w:rsid w:val="00870BE4"/>
    <w:rsid w:val="008D45E3"/>
    <w:rsid w:val="009622D1"/>
    <w:rsid w:val="009766B7"/>
    <w:rsid w:val="009B135B"/>
    <w:rsid w:val="009C1136"/>
    <w:rsid w:val="00A57FBC"/>
    <w:rsid w:val="00A67764"/>
    <w:rsid w:val="00AC43CF"/>
    <w:rsid w:val="00B61669"/>
    <w:rsid w:val="00BB0992"/>
    <w:rsid w:val="00BE6A13"/>
    <w:rsid w:val="00C12F5A"/>
    <w:rsid w:val="00D25162"/>
    <w:rsid w:val="00D51BCB"/>
    <w:rsid w:val="00DC6AE8"/>
    <w:rsid w:val="00E26AC1"/>
    <w:rsid w:val="00E44BD6"/>
    <w:rsid w:val="00E654D8"/>
    <w:rsid w:val="00EA5236"/>
    <w:rsid w:val="00EB553C"/>
    <w:rsid w:val="00F12962"/>
    <w:rsid w:val="00F53D42"/>
    <w:rsid w:val="00FA7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2CE36D-B378-4C2C-9F07-0169496E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E7E"/>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C12F5A"/>
    <w:rPr>
      <w:rFonts w:ascii="Times New Roman" w:eastAsia="Calibri"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C12F5A"/>
    <w:rPr>
      <w:sz w:val="20"/>
      <w:szCs w:val="20"/>
    </w:rPr>
  </w:style>
  <w:style w:type="character" w:customStyle="1" w:styleId="TextonotapieCar1">
    <w:name w:val="Texto nota pie Car1"/>
    <w:basedOn w:val="Fuentedeprrafopredeter"/>
    <w:uiPriority w:val="99"/>
    <w:semiHidden/>
    <w:rsid w:val="00C12F5A"/>
    <w:rPr>
      <w:rFonts w:ascii="Times New Roman" w:eastAsia="Calibri"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12F5A"/>
    <w:rPr>
      <w:vertAlign w:val="superscript"/>
    </w:rPr>
  </w:style>
  <w:style w:type="character" w:customStyle="1" w:styleId="PrrafodelistaCar">
    <w:name w:val="Párrafo de lista Car"/>
    <w:link w:val="Prrafodelista"/>
    <w:uiPriority w:val="34"/>
    <w:qFormat/>
    <w:locked/>
    <w:rsid w:val="00C12F5A"/>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C12F5A"/>
    <w:pPr>
      <w:ind w:left="720"/>
      <w:contextualSpacing/>
    </w:pPr>
  </w:style>
  <w:style w:type="paragraph" w:styleId="Encabezado">
    <w:name w:val="header"/>
    <w:basedOn w:val="Normal"/>
    <w:link w:val="EncabezadoCar"/>
    <w:uiPriority w:val="99"/>
    <w:unhideWhenUsed/>
    <w:rsid w:val="00EA5236"/>
    <w:pPr>
      <w:tabs>
        <w:tab w:val="center" w:pos="4419"/>
        <w:tab w:val="right" w:pos="8838"/>
      </w:tabs>
    </w:pPr>
  </w:style>
  <w:style w:type="character" w:customStyle="1" w:styleId="EncabezadoCar">
    <w:name w:val="Encabezado Car"/>
    <w:basedOn w:val="Fuentedeprrafopredeter"/>
    <w:link w:val="Encabezado"/>
    <w:uiPriority w:val="99"/>
    <w:rsid w:val="00EA523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A5236"/>
    <w:pPr>
      <w:tabs>
        <w:tab w:val="center" w:pos="4419"/>
        <w:tab w:val="right" w:pos="8838"/>
      </w:tabs>
    </w:pPr>
  </w:style>
  <w:style w:type="character" w:customStyle="1" w:styleId="PiedepginaCar">
    <w:name w:val="Pie de página Car"/>
    <w:basedOn w:val="Fuentedeprrafopredeter"/>
    <w:link w:val="Piedepgina"/>
    <w:uiPriority w:val="99"/>
    <w:rsid w:val="00EA5236"/>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EA52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DC6A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C6AE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C11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1136"/>
    <w:rPr>
      <w:rFonts w:ascii="Segoe UI" w:eastAsia="Calibr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633BF-7465-4584-A5E7-FE13F3EF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7157</Words>
  <Characters>39367</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2018-09-28T14:47:00Z</cp:lastPrinted>
  <dcterms:created xsi:type="dcterms:W3CDTF">2018-10-19T20:37:00Z</dcterms:created>
  <dcterms:modified xsi:type="dcterms:W3CDTF">2018-10-19T20:37:00Z</dcterms:modified>
</cp:coreProperties>
</file>